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Cloudcore Networks</w:t>
      </w:r>
    </w:p>
    <w:p>
      <w:pPr>
        <w:pStyle w:val="Subtitle"/>
      </w:pPr>
      <w:r>
        <w:t xml:space="preserve">Technology Landscape and Resource Assessment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purpose-of-this-document"/>
    <w:p>
      <w:pPr>
        <w:pStyle w:val="Heading2"/>
      </w:pPr>
      <w:r>
        <w:t xml:space="preserve">Purpose of This Document</w:t>
      </w:r>
    </w:p>
    <w:p>
      <w:pPr>
        <w:pStyle w:val="FirstParagraph"/>
      </w:pPr>
      <w:r>
        <w:t xml:space="preserve">This document provides a snapshot of Cloudcore’s current technology environment, resource availability, and change history. It is intended to support realistic implementation planning by grounding AI ambitions in the constraints of what exists today.</w:t>
      </w:r>
    </w:p>
    <w:bookmarkEnd w:id="20"/>
    <w:bookmarkStart w:id="26" w:name="current-technology-stack"/>
    <w:p>
      <w:pPr>
        <w:pStyle w:val="Heading2"/>
      </w:pPr>
      <w:r>
        <w:t xml:space="preserve">Current Technology Stack</w:t>
      </w:r>
    </w:p>
    <w:p>
      <w:pPr>
        <w:pStyle w:val="FirstParagraph"/>
      </w:pPr>
      <w:r>
        <w:t xml:space="preserve">The following table summarises the major systems in Cloudcore’s environment. Systems are grouped by function.</w:t>
      </w:r>
    </w:p>
    <w:bookmarkStart w:id="21" w:name="infrastructure-and-operations"/>
    <w:p>
      <w:pPr>
        <w:pStyle w:val="Heading3"/>
      </w:pPr>
      <w:r>
        <w:t xml:space="preserve">Infrastructure and Operations</w:t>
      </w:r>
    </w:p>
    <w:tbl>
      <w:tblPr>
        <w:tblStyle w:val="Table"/>
        <w:tblW w:type="pct" w:w="5000"/>
        <w:tblLayout w:type="fixed"/>
        <w:tblLook w:firstRow="1" w:lastRow="0" w:firstColumn="0" w:lastColumn="0" w:noHBand="0" w:noVBand="0" w:val="0020"/>
      </w:tblPr>
      <w:tblGrid>
        <w:gridCol w:w="1005"/>
        <w:gridCol w:w="1131"/>
        <w:gridCol w:w="1257"/>
        <w:gridCol w:w="2137"/>
        <w:gridCol w:w="2388"/>
      </w:tblGrid>
      <w:tr>
        <w:trPr>
          <w:tblHeader w:val="on"/>
        </w:trPr>
        <w:tc>
          <w:tcPr/>
          <w:p>
            <w:pPr>
              <w:pStyle w:val="Compact"/>
            </w:pPr>
            <w:r>
              <w:t xml:space="preserve">System</w:t>
            </w:r>
          </w:p>
        </w:tc>
        <w:tc>
          <w:tcPr/>
          <w:p>
            <w:pPr>
              <w:pStyle w:val="Compact"/>
            </w:pPr>
            <w:r>
              <w:t xml:space="preserve">Purpose</w:t>
            </w:r>
          </w:p>
        </w:tc>
        <w:tc>
          <w:tcPr/>
          <w:p>
            <w:pPr>
              <w:pStyle w:val="Compact"/>
            </w:pPr>
            <w:r>
              <w:t xml:space="preserve">Deployed</w:t>
            </w:r>
          </w:p>
        </w:tc>
        <w:tc>
          <w:tcPr/>
          <w:p>
            <w:pPr>
              <w:pStyle w:val="Compact"/>
            </w:pPr>
            <w:r>
              <w:t xml:space="preserve">Vendor/Platform</w:t>
            </w:r>
          </w:p>
        </w:tc>
        <w:tc>
          <w:tcPr/>
          <w:p>
            <w:pPr>
              <w:pStyle w:val="Compact"/>
            </w:pPr>
            <w:r>
              <w:t xml:space="preserve">Integration Status</w:t>
            </w:r>
          </w:p>
        </w:tc>
      </w:tr>
      <w:tr>
        <w:tc>
          <w:tcPr/>
          <w:p>
            <w:pPr>
              <w:pStyle w:val="Compact"/>
            </w:pPr>
            <w:r>
              <w:t xml:space="preserve">VMware vSphere</w:t>
            </w:r>
          </w:p>
        </w:tc>
        <w:tc>
          <w:tcPr/>
          <w:p>
            <w:pPr>
              <w:pStyle w:val="Compact"/>
            </w:pPr>
            <w:r>
              <w:t xml:space="preserve">Virtualisation (~2,500 VMs across client workloads)</w:t>
            </w:r>
          </w:p>
        </w:tc>
        <w:tc>
          <w:tcPr/>
          <w:p>
            <w:pPr>
              <w:pStyle w:val="Compact"/>
            </w:pPr>
            <w:r>
              <w:t xml:space="preserve">~2014</w:t>
            </w:r>
          </w:p>
        </w:tc>
        <w:tc>
          <w:tcPr/>
          <w:p>
            <w:pPr>
              <w:pStyle w:val="Compact"/>
            </w:pPr>
            <w:r>
              <w:t xml:space="preserve">VMware (Broadcom)</w:t>
            </w:r>
          </w:p>
        </w:tc>
        <w:tc>
          <w:tcPr/>
          <w:p>
            <w:pPr>
              <w:pStyle w:val="Compact"/>
            </w:pPr>
            <w:r>
              <w:t xml:space="preserve">Core platform; well integrated with provisioning automation</w:t>
            </w:r>
          </w:p>
        </w:tc>
      </w:tr>
      <w:tr>
        <w:tc>
          <w:tcPr/>
          <w:p>
            <w:pPr>
              <w:pStyle w:val="Compact"/>
            </w:pPr>
            <w:r>
              <w:t xml:space="preserve">AWS</w:t>
            </w:r>
          </w:p>
        </w:tc>
        <w:tc>
          <w:tcPr/>
          <w:p>
            <w:pPr>
              <w:pStyle w:val="Compact"/>
            </w:pPr>
            <w:r>
              <w:t xml:space="preserve">Public cloud partner (hybrid workloads)</w:t>
            </w:r>
          </w:p>
        </w:tc>
        <w:tc>
          <w:tcPr/>
          <w:p>
            <w:pPr>
              <w:pStyle w:val="Compact"/>
            </w:pPr>
            <w:r>
              <w:t xml:space="preserve">~2018</w:t>
            </w:r>
          </w:p>
        </w:tc>
        <w:tc>
          <w:tcPr/>
          <w:p>
            <w:pPr>
              <w:pStyle w:val="Compact"/>
            </w:pPr>
            <w:r>
              <w:t xml:space="preserve">Amazon Web Services</w:t>
            </w:r>
          </w:p>
        </w:tc>
        <w:tc>
          <w:tcPr/>
          <w:p>
            <w:pPr>
              <w:pStyle w:val="Compact"/>
            </w:pPr>
            <w:r>
              <w:t xml:space="preserve">Integrated via VPC peering and IAM federation; default region US-East (Ohio)</w:t>
            </w:r>
          </w:p>
        </w:tc>
      </w:tr>
      <w:tr>
        <w:tc>
          <w:tcPr/>
          <w:p>
            <w:pPr>
              <w:pStyle w:val="Compact"/>
            </w:pPr>
            <w:r>
              <w:t xml:space="preserve">Azure</w:t>
            </w:r>
          </w:p>
        </w:tc>
        <w:tc>
          <w:tcPr/>
          <w:p>
            <w:pPr>
              <w:pStyle w:val="Compact"/>
            </w:pPr>
            <w:r>
              <w:t xml:space="preserve">Public cloud partner (hybrid workloads)</w:t>
            </w:r>
          </w:p>
        </w:tc>
        <w:tc>
          <w:tcPr/>
          <w:p>
            <w:pPr>
              <w:pStyle w:val="Compact"/>
            </w:pPr>
            <w:r>
              <w:t xml:space="preserve">~2019</w:t>
            </w:r>
          </w:p>
        </w:tc>
        <w:tc>
          <w:tcPr/>
          <w:p>
            <w:pPr>
              <w:pStyle w:val="Compact"/>
            </w:pPr>
            <w:r>
              <w:t xml:space="preserve">Microsoft</w:t>
            </w:r>
          </w:p>
        </w:tc>
        <w:tc>
          <w:tcPr/>
          <w:p>
            <w:pPr>
              <w:pStyle w:val="Compact"/>
            </w:pPr>
            <w:r>
              <w:t xml:space="preserve">Secondary cloud partner; less deeply integrated than AWS</w:t>
            </w:r>
          </w:p>
        </w:tc>
      </w:tr>
      <w:tr>
        <w:tc>
          <w:tcPr/>
          <w:p>
            <w:pPr>
              <w:pStyle w:val="Compact"/>
            </w:pPr>
            <w:r>
              <w:t xml:space="preserve">Terraform</w:t>
            </w:r>
          </w:p>
        </w:tc>
        <w:tc>
          <w:tcPr/>
          <w:p>
            <w:pPr>
              <w:pStyle w:val="Compact"/>
            </w:pPr>
            <w:r>
              <w:t xml:space="preserve">Infrastructure as code</w:t>
            </w:r>
          </w:p>
        </w:tc>
        <w:tc>
          <w:tcPr/>
          <w:p>
            <w:pPr>
              <w:pStyle w:val="Compact"/>
            </w:pPr>
            <w:r>
              <w:t xml:space="preserve">~2020</w:t>
            </w:r>
          </w:p>
        </w:tc>
        <w:tc>
          <w:tcPr/>
          <w:p>
            <w:pPr>
              <w:pStyle w:val="Compact"/>
            </w:pPr>
            <w:r>
              <w:t xml:space="preserve">HashiCorp</w:t>
            </w:r>
          </w:p>
        </w:tc>
        <w:tc>
          <w:tcPr/>
          <w:p>
            <w:pPr>
              <w:pStyle w:val="Compact"/>
            </w:pPr>
            <w:r>
              <w:t xml:space="preserve">Covers ~70% of new deployments; legacy systems outside IaC</w:t>
            </w:r>
          </w:p>
        </w:tc>
      </w:tr>
      <w:tr>
        <w:tc>
          <w:tcPr/>
          <w:p>
            <w:pPr>
              <w:pStyle w:val="Compact"/>
            </w:pPr>
            <w:r>
              <w:t xml:space="preserve">Ansible</w:t>
            </w:r>
          </w:p>
        </w:tc>
        <w:tc>
          <w:tcPr/>
          <w:p>
            <w:pPr>
              <w:pStyle w:val="Compact"/>
            </w:pPr>
            <w:r>
              <w:t xml:space="preserve">Configuration automation and deployment</w:t>
            </w:r>
          </w:p>
        </w:tc>
        <w:tc>
          <w:tcPr/>
          <w:p>
            <w:pPr>
              <w:pStyle w:val="Compact"/>
            </w:pPr>
            <w:r>
              <w:t xml:space="preserve">~2019</w:t>
            </w:r>
          </w:p>
        </w:tc>
        <w:tc>
          <w:tcPr/>
          <w:p>
            <w:pPr>
              <w:pStyle w:val="Compact"/>
            </w:pPr>
            <w:r>
              <w:t xml:space="preserve">Red Hat</w:t>
            </w:r>
          </w:p>
        </w:tc>
        <w:tc>
          <w:tcPr/>
          <w:p>
            <w:pPr>
              <w:pStyle w:val="Compact"/>
            </w:pPr>
            <w:r>
              <w:t xml:space="preserve">Used alongside Terraform for server provisioning; some overlap with Chef</w:t>
            </w:r>
          </w:p>
        </w:tc>
      </w:tr>
      <w:tr>
        <w:tc>
          <w:tcPr/>
          <w:p>
            <w:pPr>
              <w:pStyle w:val="Compact"/>
            </w:pPr>
            <w:r>
              <w:t xml:space="preserve">Chef</w:t>
            </w:r>
          </w:p>
        </w:tc>
        <w:tc>
          <w:tcPr/>
          <w:p>
            <w:pPr>
              <w:pStyle w:val="Compact"/>
            </w:pPr>
            <w:r>
              <w:t xml:space="preserve">Legacy configuration management</w:t>
            </w:r>
          </w:p>
        </w:tc>
        <w:tc>
          <w:tcPr/>
          <w:p>
            <w:pPr>
              <w:pStyle w:val="Compact"/>
            </w:pPr>
            <w:r>
              <w:t xml:space="preserve">~2015</w:t>
            </w:r>
          </w:p>
        </w:tc>
        <w:tc>
          <w:tcPr/>
          <w:p>
            <w:pPr>
              <w:pStyle w:val="Compact"/>
            </w:pPr>
            <w:r>
              <w:t xml:space="preserve">Progress Software</w:t>
            </w:r>
          </w:p>
        </w:tc>
        <w:tc>
          <w:tcPr/>
          <w:p>
            <w:pPr>
              <w:pStyle w:val="Compact"/>
            </w:pPr>
            <w:r>
              <w:t xml:space="preserve">Being phased out in favour of Ansible; still manages some legacy hosts</w:t>
            </w:r>
          </w:p>
        </w:tc>
      </w:tr>
      <w:tr>
        <w:tc>
          <w:tcPr/>
          <w:p>
            <w:pPr>
              <w:pStyle w:val="Compact"/>
            </w:pPr>
            <w:r>
              <w:t xml:space="preserve">Salt</w:t>
            </w:r>
          </w:p>
        </w:tc>
        <w:tc>
          <w:tcPr/>
          <w:p>
            <w:pPr>
              <w:pStyle w:val="Compact"/>
            </w:pPr>
            <w:r>
              <w:t xml:space="preserve">Configuration automation (secondary)</w:t>
            </w:r>
          </w:p>
        </w:tc>
        <w:tc>
          <w:tcPr/>
          <w:p>
            <w:pPr>
              <w:pStyle w:val="Compact"/>
            </w:pPr>
            <w:r>
              <w:t xml:space="preserve">~2016</w:t>
            </w:r>
          </w:p>
        </w:tc>
        <w:tc>
          <w:tcPr/>
          <w:p>
            <w:pPr>
              <w:pStyle w:val="Compact"/>
            </w:pPr>
            <w:r>
              <w:t xml:space="preserve">VMware</w:t>
            </w:r>
          </w:p>
        </w:tc>
        <w:tc>
          <w:tcPr/>
          <w:p>
            <w:pPr>
              <w:pStyle w:val="Compact"/>
            </w:pPr>
            <w:r>
              <w:t xml:space="preserve">Limited use; retained for specific legacy workloads</w:t>
            </w:r>
          </w:p>
        </w:tc>
      </w:tr>
      <w:tr>
        <w:tc>
          <w:tcPr/>
          <w:p>
            <w:pPr>
              <w:pStyle w:val="Compact"/>
            </w:pPr>
            <w:r>
              <w:t xml:space="preserve">Kubernetes</w:t>
            </w:r>
          </w:p>
        </w:tc>
        <w:tc>
          <w:tcPr/>
          <w:p>
            <w:pPr>
              <w:pStyle w:val="Compact"/>
            </w:pPr>
            <w:r>
              <w:t xml:space="preserve">Container orchestration</w:t>
            </w:r>
          </w:p>
        </w:tc>
        <w:tc>
          <w:tcPr/>
          <w:p>
            <w:pPr>
              <w:pStyle w:val="Compact"/>
            </w:pPr>
            <w:r>
              <w:t xml:space="preserve">~2022</w:t>
            </w:r>
          </w:p>
        </w:tc>
        <w:tc>
          <w:tcPr/>
          <w:p>
            <w:pPr>
              <w:pStyle w:val="Compact"/>
            </w:pPr>
            <w:r>
              <w:t xml:space="preserve">Open source (CNCF)</w:t>
            </w:r>
          </w:p>
        </w:tc>
        <w:tc>
          <w:tcPr/>
          <w:p>
            <w:pPr>
              <w:pStyle w:val="Compact"/>
            </w:pPr>
            <w:r>
              <w:t xml:space="preserve">Limited adoption; used for internal applications, not yet client-facing</w:t>
            </w:r>
          </w:p>
        </w:tc>
      </w:tr>
      <w:tr>
        <w:tc>
          <w:tcPr/>
          <w:p>
            <w:pPr>
              <w:pStyle w:val="Compact"/>
            </w:pPr>
            <w:r>
              <w:t xml:space="preserve">Prometheus + Grafana</w:t>
            </w:r>
          </w:p>
        </w:tc>
        <w:tc>
          <w:tcPr/>
          <w:p>
            <w:pPr>
              <w:pStyle w:val="Compact"/>
            </w:pPr>
            <w:r>
              <w:t xml:space="preserve">Infrastructure monitoring and alerting</w:t>
            </w:r>
          </w:p>
        </w:tc>
        <w:tc>
          <w:tcPr/>
          <w:p>
            <w:pPr>
              <w:pStyle w:val="Compact"/>
            </w:pPr>
            <w:r>
              <w:t xml:space="preserve">~2020</w:t>
            </w:r>
          </w:p>
        </w:tc>
        <w:tc>
          <w:tcPr/>
          <w:p>
            <w:pPr>
              <w:pStyle w:val="Compact"/>
            </w:pPr>
            <w:r>
              <w:t xml:space="preserve">Open source</w:t>
            </w:r>
          </w:p>
        </w:tc>
        <w:tc>
          <w:tcPr/>
          <w:p>
            <w:pPr>
              <w:pStyle w:val="Compact"/>
            </w:pPr>
            <w:r>
              <w:t xml:space="preserve">Well integrated; feeds PagerDuty for on-call escalation</w:t>
            </w:r>
          </w:p>
        </w:tc>
      </w:tr>
    </w:tbl>
    <w:bookmarkEnd w:id="21"/>
    <w:bookmarkStart w:id="22" w:name="security"/>
    <w:p>
      <w:pPr>
        <w:pStyle w:val="Heading3"/>
      </w:pPr>
      <w:r>
        <w:t xml:space="preserve">Security</w:t>
      </w:r>
    </w:p>
    <w:tbl>
      <w:tblPr>
        <w:tblStyle w:val="Table"/>
        <w:tblW w:type="pct" w:w="5000"/>
        <w:tblLayout w:type="fixed"/>
        <w:tblLook w:firstRow="1" w:lastRow="0" w:firstColumn="0" w:lastColumn="0" w:noHBand="0" w:noVBand="0" w:val="0020"/>
      </w:tblPr>
      <w:tblGrid>
        <w:gridCol w:w="1005"/>
        <w:gridCol w:w="1131"/>
        <w:gridCol w:w="1257"/>
        <w:gridCol w:w="2137"/>
        <w:gridCol w:w="2388"/>
      </w:tblGrid>
      <w:tr>
        <w:trPr>
          <w:tblHeader w:val="on"/>
        </w:trPr>
        <w:tc>
          <w:tcPr/>
          <w:p>
            <w:pPr>
              <w:pStyle w:val="Compact"/>
            </w:pPr>
            <w:r>
              <w:t xml:space="preserve">System</w:t>
            </w:r>
          </w:p>
        </w:tc>
        <w:tc>
          <w:tcPr/>
          <w:p>
            <w:pPr>
              <w:pStyle w:val="Compact"/>
            </w:pPr>
            <w:r>
              <w:t xml:space="preserve">Purpose</w:t>
            </w:r>
          </w:p>
        </w:tc>
        <w:tc>
          <w:tcPr/>
          <w:p>
            <w:pPr>
              <w:pStyle w:val="Compact"/>
            </w:pPr>
            <w:r>
              <w:t xml:space="preserve">Deployed</w:t>
            </w:r>
          </w:p>
        </w:tc>
        <w:tc>
          <w:tcPr/>
          <w:p>
            <w:pPr>
              <w:pStyle w:val="Compact"/>
            </w:pPr>
            <w:r>
              <w:t xml:space="preserve">Vendor/Platform</w:t>
            </w:r>
          </w:p>
        </w:tc>
        <w:tc>
          <w:tcPr/>
          <w:p>
            <w:pPr>
              <w:pStyle w:val="Compact"/>
            </w:pPr>
            <w:r>
              <w:t xml:space="preserve">Integration Status</w:t>
            </w:r>
          </w:p>
        </w:tc>
      </w:tr>
      <w:tr>
        <w:tc>
          <w:tcPr/>
          <w:p>
            <w:pPr>
              <w:pStyle w:val="Compact"/>
            </w:pPr>
            <w:r>
              <w:t xml:space="preserve">Splunk SIEM</w:t>
            </w:r>
          </w:p>
        </w:tc>
        <w:tc>
          <w:tcPr/>
          <w:p>
            <w:pPr>
              <w:pStyle w:val="Compact"/>
            </w:pPr>
            <w:r>
              <w:t xml:space="preserve">Security log aggregation and correlation</w:t>
            </w:r>
          </w:p>
        </w:tc>
        <w:tc>
          <w:tcPr/>
          <w:p>
            <w:pPr>
              <w:pStyle w:val="Compact"/>
            </w:pPr>
            <w:r>
              <w:t xml:space="preserve">~2021</w:t>
            </w:r>
          </w:p>
        </w:tc>
        <w:tc>
          <w:tcPr/>
          <w:p>
            <w:pPr>
              <w:pStyle w:val="Compact"/>
            </w:pPr>
            <w:r>
              <w:t xml:space="preserve">Splunk</w:t>
            </w:r>
          </w:p>
        </w:tc>
        <w:tc>
          <w:tcPr/>
          <w:p>
            <w:pPr>
              <w:pStyle w:val="Compact"/>
            </w:pPr>
            <w:r>
              <w:t xml:space="preserve">Central security platform; generates 500 to 800 daily alerts</w:t>
            </w:r>
          </w:p>
        </w:tc>
      </w:tr>
      <w:tr>
        <w:tc>
          <w:tcPr/>
          <w:p>
            <w:pPr>
              <w:pStyle w:val="Compact"/>
            </w:pPr>
            <w:r>
              <w:t xml:space="preserve">CrowdStrike</w:t>
            </w:r>
          </w:p>
        </w:tc>
        <w:tc>
          <w:tcPr/>
          <w:p>
            <w:pPr>
              <w:pStyle w:val="Compact"/>
            </w:pPr>
            <w:r>
              <w:t xml:space="preserve">Endpoint detection and response (EDR)</w:t>
            </w:r>
          </w:p>
        </w:tc>
        <w:tc>
          <w:tcPr/>
          <w:p>
            <w:pPr>
              <w:pStyle w:val="Compact"/>
            </w:pPr>
            <w:r>
              <w:t xml:space="preserve">~2022</w:t>
            </w:r>
          </w:p>
        </w:tc>
        <w:tc>
          <w:tcPr/>
          <w:p>
            <w:pPr>
              <w:pStyle w:val="Compact"/>
            </w:pPr>
            <w:r>
              <w:t xml:space="preserve">CrowdStrike</w:t>
            </w:r>
          </w:p>
        </w:tc>
        <w:tc>
          <w:tcPr/>
          <w:p>
            <w:pPr>
              <w:pStyle w:val="Compact"/>
            </w:pPr>
            <w:r>
              <w:t xml:space="preserve">Deployed across endpoints; feeds into Splunk</w:t>
            </w:r>
          </w:p>
        </w:tc>
      </w:tr>
      <w:tr>
        <w:tc>
          <w:tcPr/>
          <w:p>
            <w:pPr>
              <w:pStyle w:val="Compact"/>
            </w:pPr>
            <w:r>
              <w:t xml:space="preserve">Palo Alto firewalls</w:t>
            </w:r>
          </w:p>
        </w:tc>
        <w:tc>
          <w:tcPr/>
          <w:p>
            <w:pPr>
              <w:pStyle w:val="Compact"/>
            </w:pPr>
            <w:r>
              <w:t xml:space="preserve">Network perimeter security</w:t>
            </w:r>
          </w:p>
        </w:tc>
        <w:tc>
          <w:tcPr/>
          <w:p>
            <w:pPr>
              <w:pStyle w:val="Compact"/>
            </w:pPr>
            <w:r>
              <w:t xml:space="preserve">~2017</w:t>
            </w:r>
          </w:p>
        </w:tc>
        <w:tc>
          <w:tcPr/>
          <w:p>
            <w:pPr>
              <w:pStyle w:val="Compact"/>
            </w:pPr>
            <w:r>
              <w:t xml:space="preserve">Palo Alto Networks</w:t>
            </w:r>
          </w:p>
        </w:tc>
        <w:tc>
          <w:tcPr/>
          <w:p>
            <w:pPr>
              <w:pStyle w:val="Compact"/>
            </w:pPr>
            <w:r>
              <w:t xml:space="preserve">Load-balanced pair; rule base reviewed quarterly post-breach</w:t>
            </w:r>
          </w:p>
        </w:tc>
      </w:tr>
      <w:tr>
        <w:tc>
          <w:tcPr/>
          <w:p>
            <w:pPr>
              <w:pStyle w:val="Compact"/>
            </w:pPr>
            <w:r>
              <w:t xml:space="preserve">Cisco switches</w:t>
            </w:r>
          </w:p>
        </w:tc>
        <w:tc>
          <w:tcPr/>
          <w:p>
            <w:pPr>
              <w:pStyle w:val="Compact"/>
            </w:pPr>
            <w:r>
              <w:t xml:space="preserve">Network infrastructure (802.1x, segmentation)</w:t>
            </w:r>
          </w:p>
        </w:tc>
        <w:tc>
          <w:tcPr/>
          <w:p>
            <w:pPr>
              <w:pStyle w:val="Compact"/>
            </w:pPr>
            <w:r>
              <w:t xml:space="preserve">~2014</w:t>
            </w:r>
          </w:p>
        </w:tc>
        <w:tc>
          <w:tcPr/>
          <w:p>
            <w:pPr>
              <w:pStyle w:val="Compact"/>
            </w:pPr>
            <w:r>
              <w:t xml:space="preserve">Cisco</w:t>
            </w:r>
          </w:p>
        </w:tc>
        <w:tc>
          <w:tcPr/>
          <w:p>
            <w:pPr>
              <w:pStyle w:val="Compact"/>
            </w:pPr>
            <w:r>
              <w:t xml:space="preserve">Core network; segmentation improved post-breach</w:t>
            </w:r>
          </w:p>
        </w:tc>
      </w:tr>
      <w:tr>
        <w:tc>
          <w:tcPr/>
          <w:p>
            <w:pPr>
              <w:pStyle w:val="Compact"/>
            </w:pPr>
            <w:r>
              <w:t xml:space="preserve">Tenable.io</w:t>
            </w:r>
          </w:p>
        </w:tc>
        <w:tc>
          <w:tcPr/>
          <w:p>
            <w:pPr>
              <w:pStyle w:val="Compact"/>
            </w:pPr>
            <w:r>
              <w:t xml:space="preserve">Vulnerability scanning</w:t>
            </w:r>
          </w:p>
        </w:tc>
        <w:tc>
          <w:tcPr/>
          <w:p>
            <w:pPr>
              <w:pStyle w:val="Compact"/>
            </w:pPr>
            <w:r>
              <w:t xml:space="preserve">~2021</w:t>
            </w:r>
          </w:p>
        </w:tc>
        <w:tc>
          <w:tcPr/>
          <w:p>
            <w:pPr>
              <w:pStyle w:val="Compact"/>
            </w:pPr>
            <w:r>
              <w:t xml:space="preserve">Tenable</w:t>
            </w:r>
          </w:p>
        </w:tc>
        <w:tc>
          <w:tcPr/>
          <w:p>
            <w:pPr>
              <w:pStyle w:val="Compact"/>
            </w:pPr>
            <w:r>
              <w:t xml:space="preserve">Weekly scans; critical/high patching within 15 days</w:t>
            </w:r>
          </w:p>
        </w:tc>
      </w:tr>
      <w:tr>
        <w:tc>
          <w:tcPr/>
          <w:p>
            <w:pPr>
              <w:pStyle w:val="Compact"/>
            </w:pPr>
            <w:r>
              <w:t xml:space="preserve">Auth0</w:t>
            </w:r>
          </w:p>
        </w:tc>
        <w:tc>
          <w:tcPr/>
          <w:p>
            <w:pPr>
              <w:pStyle w:val="Compact"/>
            </w:pPr>
            <w:r>
              <w:t xml:space="preserve">Identity provider and SSO</w:t>
            </w:r>
          </w:p>
        </w:tc>
        <w:tc>
          <w:tcPr/>
          <w:p>
            <w:pPr>
              <w:pStyle w:val="Compact"/>
            </w:pPr>
            <w:r>
              <w:t xml:space="preserve">Dec 2023</w:t>
            </w:r>
          </w:p>
        </w:tc>
        <w:tc>
          <w:tcPr/>
          <w:p>
            <w:pPr>
              <w:pStyle w:val="Compact"/>
            </w:pPr>
            <w:r>
              <w:t xml:space="preserve">Okta (Auth0)</w:t>
            </w:r>
          </w:p>
        </w:tc>
        <w:tc>
          <w:tcPr/>
          <w:p>
            <w:pPr>
              <w:pStyle w:val="Compact"/>
            </w:pPr>
            <w:r>
              <w:t xml:space="preserve">Migrated from Okta; some policies still reference old IdP</w:t>
            </w:r>
          </w:p>
        </w:tc>
      </w:tr>
    </w:tbl>
    <w:bookmarkEnd w:id="22"/>
    <w:bookmarkStart w:id="23" w:name="business-applications"/>
    <w:p>
      <w:pPr>
        <w:pStyle w:val="Heading3"/>
      </w:pPr>
      <w:r>
        <w:t xml:space="preserve">Business Applications</w:t>
      </w:r>
    </w:p>
    <w:tbl>
      <w:tblPr>
        <w:tblStyle w:val="Table"/>
        <w:tblW w:type="pct" w:w="5000"/>
        <w:tblLayout w:type="fixed"/>
        <w:tblLook w:firstRow="1" w:lastRow="0" w:firstColumn="0" w:lastColumn="0" w:noHBand="0" w:noVBand="0" w:val="0020"/>
      </w:tblPr>
      <w:tblGrid>
        <w:gridCol w:w="1005"/>
        <w:gridCol w:w="1131"/>
        <w:gridCol w:w="1257"/>
        <w:gridCol w:w="2137"/>
        <w:gridCol w:w="2388"/>
      </w:tblGrid>
      <w:tr>
        <w:trPr>
          <w:tblHeader w:val="on"/>
        </w:trPr>
        <w:tc>
          <w:tcPr/>
          <w:p>
            <w:pPr>
              <w:pStyle w:val="Compact"/>
            </w:pPr>
            <w:r>
              <w:t xml:space="preserve">System</w:t>
            </w:r>
          </w:p>
        </w:tc>
        <w:tc>
          <w:tcPr/>
          <w:p>
            <w:pPr>
              <w:pStyle w:val="Compact"/>
            </w:pPr>
            <w:r>
              <w:t xml:space="preserve">Purpose</w:t>
            </w:r>
          </w:p>
        </w:tc>
        <w:tc>
          <w:tcPr/>
          <w:p>
            <w:pPr>
              <w:pStyle w:val="Compact"/>
            </w:pPr>
            <w:r>
              <w:t xml:space="preserve">Deployed</w:t>
            </w:r>
          </w:p>
        </w:tc>
        <w:tc>
          <w:tcPr/>
          <w:p>
            <w:pPr>
              <w:pStyle w:val="Compact"/>
            </w:pPr>
            <w:r>
              <w:t xml:space="preserve">Vendor/Platform</w:t>
            </w:r>
          </w:p>
        </w:tc>
        <w:tc>
          <w:tcPr/>
          <w:p>
            <w:pPr>
              <w:pStyle w:val="Compact"/>
            </w:pPr>
            <w:r>
              <w:t xml:space="preserve">Integration Status</w:t>
            </w:r>
          </w:p>
        </w:tc>
      </w:tr>
      <w:tr>
        <w:tc>
          <w:tcPr/>
          <w:p>
            <w:pPr>
              <w:pStyle w:val="Compact"/>
            </w:pPr>
            <w:r>
              <w:t xml:space="preserve">HubSpot</w:t>
            </w:r>
          </w:p>
        </w:tc>
        <w:tc>
          <w:tcPr/>
          <w:p>
            <w:pPr>
              <w:pStyle w:val="Compact"/>
            </w:pPr>
            <w:r>
              <w:t xml:space="preserve">CRM, email marketing, lead tracking</w:t>
            </w:r>
          </w:p>
        </w:tc>
        <w:tc>
          <w:tcPr/>
          <w:p>
            <w:pPr>
              <w:pStyle w:val="Compact"/>
            </w:pPr>
            <w:r>
              <w:t xml:space="preserve">~2022</w:t>
            </w:r>
          </w:p>
        </w:tc>
        <w:tc>
          <w:tcPr/>
          <w:p>
            <w:pPr>
              <w:pStyle w:val="Compact"/>
            </w:pPr>
            <w:r>
              <w:t xml:space="preserve">HubSpot</w:t>
            </w:r>
          </w:p>
        </w:tc>
        <w:tc>
          <w:tcPr/>
          <w:p>
            <w:pPr>
              <w:pStyle w:val="Compact"/>
            </w:pPr>
            <w:r>
              <w:t xml:space="preserve">Marketing and sales use; limited integration with operational systems</w:t>
            </w:r>
          </w:p>
        </w:tc>
      </w:tr>
      <w:tr>
        <w:tc>
          <w:tcPr/>
          <w:p>
            <w:pPr>
              <w:pStyle w:val="Compact"/>
            </w:pPr>
            <w:r>
              <w:t xml:space="preserve">ServiceNow</w:t>
            </w:r>
          </w:p>
        </w:tc>
        <w:tc>
          <w:tcPr/>
          <w:p>
            <w:pPr>
              <w:pStyle w:val="Compact"/>
            </w:pPr>
            <w:r>
              <w:t xml:space="preserve">Change management (PRODCM project)</w:t>
            </w:r>
          </w:p>
        </w:tc>
        <w:tc>
          <w:tcPr/>
          <w:p>
            <w:pPr>
              <w:pStyle w:val="Compact"/>
            </w:pPr>
            <w:r>
              <w:t xml:space="preserve">~2023</w:t>
            </w:r>
          </w:p>
        </w:tc>
        <w:tc>
          <w:tcPr/>
          <w:p>
            <w:pPr>
              <w:pStyle w:val="Compact"/>
            </w:pPr>
            <w:r>
              <w:t xml:space="preserve">ServiceNow</w:t>
            </w:r>
          </w:p>
        </w:tc>
        <w:tc>
          <w:tcPr/>
          <w:p>
            <w:pPr>
              <w:pStyle w:val="Compact"/>
            </w:pPr>
            <w:r>
              <w:t xml:space="preserve">Change management workflows; not yet integrated with monitoring</w:t>
            </w:r>
          </w:p>
        </w:tc>
      </w:tr>
      <w:tr>
        <w:tc>
          <w:tcPr/>
          <w:p>
            <w:pPr>
              <w:pStyle w:val="Compact"/>
            </w:pPr>
            <w:r>
              <w:t xml:space="preserve">JupiterOne</w:t>
            </w:r>
          </w:p>
        </w:tc>
        <w:tc>
          <w:tcPr/>
          <w:p>
            <w:pPr>
              <w:pStyle w:val="Compact"/>
            </w:pPr>
            <w:r>
              <w:t xml:space="preserve">IT asset management and CMDB</w:t>
            </w:r>
          </w:p>
        </w:tc>
        <w:tc>
          <w:tcPr/>
          <w:p>
            <w:pPr>
              <w:pStyle w:val="Compact"/>
            </w:pPr>
            <w:r>
              <w:t xml:space="preserve">~2022</w:t>
            </w:r>
          </w:p>
        </w:tc>
        <w:tc>
          <w:tcPr/>
          <w:p>
            <w:pPr>
              <w:pStyle w:val="Compact"/>
            </w:pPr>
            <w:r>
              <w:t xml:space="preserve">JupiterOne</w:t>
            </w:r>
          </w:p>
        </w:tc>
        <w:tc>
          <w:tcPr/>
          <w:p>
            <w:pPr>
              <w:pStyle w:val="Compact"/>
            </w:pPr>
            <w:r>
              <w:t xml:space="preserve">AWS automated discovery; physical asset tracking via property tags</w:t>
            </w:r>
          </w:p>
        </w:tc>
      </w:tr>
      <w:tr>
        <w:tc>
          <w:tcPr/>
          <w:p>
            <w:pPr>
              <w:pStyle w:val="Compact"/>
            </w:pPr>
            <w:r>
              <w:t xml:space="preserve">Atlassian (Jira, Confluence)</w:t>
            </w:r>
          </w:p>
        </w:tc>
        <w:tc>
          <w:tcPr/>
          <w:p>
            <w:pPr>
              <w:pStyle w:val="Compact"/>
            </w:pPr>
            <w:r>
              <w:t xml:space="preserve">Project management and documentation</w:t>
            </w:r>
          </w:p>
        </w:tc>
        <w:tc>
          <w:tcPr/>
          <w:p>
            <w:pPr>
              <w:pStyle w:val="Compact"/>
            </w:pPr>
            <w:r>
              <w:t xml:space="preserve">~2016</w:t>
            </w:r>
          </w:p>
        </w:tc>
        <w:tc>
          <w:tcPr/>
          <w:p>
            <w:pPr>
              <w:pStyle w:val="Compact"/>
            </w:pPr>
            <w:r>
              <w:t xml:space="preserve">Atlassian</w:t>
            </w:r>
          </w:p>
        </w:tc>
        <w:tc>
          <w:tcPr/>
          <w:p>
            <w:pPr>
              <w:pStyle w:val="Compact"/>
            </w:pPr>
            <w:r>
              <w:t xml:space="preserve">Widely used; ticket data not connected to analytics</w:t>
            </w:r>
          </w:p>
        </w:tc>
      </w:tr>
      <w:tr>
        <w:tc>
          <w:tcPr/>
          <w:p>
            <w:pPr>
              <w:pStyle w:val="Compact"/>
            </w:pPr>
            <w:r>
              <w:t xml:space="preserve">Office 365</w:t>
            </w:r>
          </w:p>
        </w:tc>
        <w:tc>
          <w:tcPr/>
          <w:p>
            <w:pPr>
              <w:pStyle w:val="Compact"/>
            </w:pPr>
            <w:r>
              <w:t xml:space="preserve">Email, productivity, collaboration</w:t>
            </w:r>
          </w:p>
        </w:tc>
        <w:tc>
          <w:tcPr/>
          <w:p>
            <w:pPr>
              <w:pStyle w:val="Compact"/>
            </w:pPr>
            <w:r>
              <w:t xml:space="preserve">~2015</w:t>
            </w:r>
          </w:p>
        </w:tc>
        <w:tc>
          <w:tcPr/>
          <w:p>
            <w:pPr>
              <w:pStyle w:val="Compact"/>
            </w:pPr>
            <w:r>
              <w:t xml:space="preserve">Microsoft</w:t>
            </w:r>
          </w:p>
        </w:tc>
        <w:tc>
          <w:tcPr/>
          <w:p>
            <w:pPr>
              <w:pStyle w:val="Compact"/>
            </w:pPr>
            <w:r>
              <w:t xml:space="preserve">Core productivity platform</w:t>
            </w:r>
          </w:p>
        </w:tc>
      </w:tr>
      <w:tr>
        <w:tc>
          <w:tcPr/>
          <w:p>
            <w:pPr>
              <w:pStyle w:val="Compact"/>
            </w:pPr>
            <w:r>
              <w:t xml:space="preserve">Slack</w:t>
            </w:r>
          </w:p>
        </w:tc>
        <w:tc>
          <w:tcPr/>
          <w:p>
            <w:pPr>
              <w:pStyle w:val="Compact"/>
            </w:pPr>
            <w:r>
              <w:t xml:space="preserve">Team communication</w:t>
            </w:r>
          </w:p>
        </w:tc>
        <w:tc>
          <w:tcPr/>
          <w:p>
            <w:pPr>
              <w:pStyle w:val="Compact"/>
            </w:pPr>
            <w:r>
              <w:t xml:space="preserve">~2018</w:t>
            </w:r>
          </w:p>
        </w:tc>
        <w:tc>
          <w:tcPr/>
          <w:p>
            <w:pPr>
              <w:pStyle w:val="Compact"/>
            </w:pPr>
            <w:r>
              <w:t xml:space="preserve">Salesforce (Slack)</w:t>
            </w:r>
          </w:p>
        </w:tc>
        <w:tc>
          <w:tcPr/>
          <w:p>
            <w:pPr>
              <w:pStyle w:val="Compact"/>
            </w:pPr>
            <w:r>
              <w:t xml:space="preserve">Primary internal communication; some alerting integrations</w:t>
            </w:r>
          </w:p>
        </w:tc>
      </w:tr>
    </w:tbl>
    <w:bookmarkEnd w:id="23"/>
    <w:bookmarkStart w:id="24" w:name="development"/>
    <w:p>
      <w:pPr>
        <w:pStyle w:val="Heading3"/>
      </w:pPr>
      <w:r>
        <w:t xml:space="preserve">Development</w:t>
      </w:r>
    </w:p>
    <w:tbl>
      <w:tblPr>
        <w:tblStyle w:val="Table"/>
        <w:tblW w:type="pct" w:w="5000"/>
        <w:tblLayout w:type="fixed"/>
        <w:tblLook w:firstRow="1" w:lastRow="0" w:firstColumn="0" w:lastColumn="0" w:noHBand="0" w:noVBand="0" w:val="0020"/>
      </w:tblPr>
      <w:tblGrid>
        <w:gridCol w:w="1005"/>
        <w:gridCol w:w="1131"/>
        <w:gridCol w:w="1257"/>
        <w:gridCol w:w="2137"/>
        <w:gridCol w:w="2388"/>
      </w:tblGrid>
      <w:tr>
        <w:trPr>
          <w:tblHeader w:val="on"/>
        </w:trPr>
        <w:tc>
          <w:tcPr/>
          <w:p>
            <w:pPr>
              <w:pStyle w:val="Compact"/>
            </w:pPr>
            <w:r>
              <w:t xml:space="preserve">System</w:t>
            </w:r>
          </w:p>
        </w:tc>
        <w:tc>
          <w:tcPr/>
          <w:p>
            <w:pPr>
              <w:pStyle w:val="Compact"/>
            </w:pPr>
            <w:r>
              <w:t xml:space="preserve">Purpose</w:t>
            </w:r>
          </w:p>
        </w:tc>
        <w:tc>
          <w:tcPr/>
          <w:p>
            <w:pPr>
              <w:pStyle w:val="Compact"/>
            </w:pPr>
            <w:r>
              <w:t xml:space="preserve">Deployed</w:t>
            </w:r>
          </w:p>
        </w:tc>
        <w:tc>
          <w:tcPr/>
          <w:p>
            <w:pPr>
              <w:pStyle w:val="Compact"/>
            </w:pPr>
            <w:r>
              <w:t xml:space="preserve">Vendor/Platform</w:t>
            </w:r>
          </w:p>
        </w:tc>
        <w:tc>
          <w:tcPr/>
          <w:p>
            <w:pPr>
              <w:pStyle w:val="Compact"/>
            </w:pPr>
            <w:r>
              <w:t xml:space="preserve">Integration Status</w:t>
            </w:r>
          </w:p>
        </w:tc>
      </w:tr>
      <w:tr>
        <w:tc>
          <w:tcPr/>
          <w:p>
            <w:pPr>
              <w:pStyle w:val="Compact"/>
            </w:pPr>
            <w:r>
              <w:t xml:space="preserve">GitHub Actions</w:t>
            </w:r>
          </w:p>
        </w:tc>
        <w:tc>
          <w:tcPr/>
          <w:p>
            <w:pPr>
              <w:pStyle w:val="Compact"/>
            </w:pPr>
            <w:r>
              <w:t xml:space="preserve">CI/CD pipeline</w:t>
            </w:r>
          </w:p>
        </w:tc>
        <w:tc>
          <w:tcPr/>
          <w:p>
            <w:pPr>
              <w:pStyle w:val="Compact"/>
            </w:pPr>
            <w:r>
              <w:t xml:space="preserve">~2021</w:t>
            </w:r>
          </w:p>
        </w:tc>
        <w:tc>
          <w:tcPr/>
          <w:p>
            <w:pPr>
              <w:pStyle w:val="Compact"/>
            </w:pPr>
            <w:r>
              <w:t xml:space="preserve">GitHub</w:t>
            </w:r>
          </w:p>
        </w:tc>
        <w:tc>
          <w:tcPr/>
          <w:p>
            <w:pPr>
              <w:pStyle w:val="Compact"/>
            </w:pPr>
            <w:r>
              <w:t xml:space="preserve">SAST scanning integrated; ~70% test coverage</w:t>
            </w:r>
          </w:p>
        </w:tc>
      </w:tr>
      <w:tr>
        <w:tc>
          <w:tcPr/>
          <w:p>
            <w:pPr>
              <w:pStyle w:val="Compact"/>
            </w:pPr>
            <w:r>
              <w:t xml:space="preserve">ArgoCD</w:t>
            </w:r>
          </w:p>
        </w:tc>
        <w:tc>
          <w:tcPr/>
          <w:p>
            <w:pPr>
              <w:pStyle w:val="Compact"/>
            </w:pPr>
            <w:r>
              <w:t xml:space="preserve">GitOps deployment to Kubernetes</w:t>
            </w:r>
          </w:p>
        </w:tc>
        <w:tc>
          <w:tcPr/>
          <w:p>
            <w:pPr>
              <w:pStyle w:val="Compact"/>
            </w:pPr>
            <w:r>
              <w:t xml:space="preserve">~2022</w:t>
            </w:r>
          </w:p>
        </w:tc>
        <w:tc>
          <w:tcPr/>
          <w:p>
            <w:pPr>
              <w:pStyle w:val="Compact"/>
            </w:pPr>
            <w:r>
              <w:t xml:space="preserve">Open source (CNCF)</w:t>
            </w:r>
          </w:p>
        </w:tc>
        <w:tc>
          <w:tcPr/>
          <w:p>
            <w:pPr>
              <w:pStyle w:val="Compact"/>
            </w:pPr>
            <w:r>
              <w:t xml:space="preserve">Used for internal microservices only</w:t>
            </w:r>
          </w:p>
        </w:tc>
      </w:tr>
      <w:tr>
        <w:tc>
          <w:tcPr/>
          <w:p>
            <w:pPr>
              <w:pStyle w:val="Compact"/>
            </w:pPr>
            <w:r>
              <w:t xml:space="preserve">PostgreSQL</w:t>
            </w:r>
          </w:p>
        </w:tc>
        <w:tc>
          <w:tcPr/>
          <w:p>
            <w:pPr>
              <w:pStyle w:val="Compact"/>
            </w:pPr>
            <w:r>
              <w:t xml:space="preserve">Primary application database</w:t>
            </w:r>
          </w:p>
        </w:tc>
        <w:tc>
          <w:tcPr/>
          <w:p>
            <w:pPr>
              <w:pStyle w:val="Compact"/>
            </w:pPr>
            <w:r>
              <w:t xml:space="preserve">~2015</w:t>
            </w:r>
          </w:p>
        </w:tc>
        <w:tc>
          <w:tcPr/>
          <w:p>
            <w:pPr>
              <w:pStyle w:val="Compact"/>
            </w:pPr>
            <w:r>
              <w:t xml:space="preserve">Open source</w:t>
            </w:r>
          </w:p>
        </w:tc>
        <w:tc>
          <w:tcPr/>
          <w:p>
            <w:pPr>
              <w:pStyle w:val="Compact"/>
            </w:pPr>
            <w:r>
              <w:t xml:space="preserve">Core data store; encrypted at rest and in transit</w:t>
            </w:r>
          </w:p>
        </w:tc>
      </w:tr>
      <w:tr>
        <w:tc>
          <w:tcPr/>
          <w:p>
            <w:pPr>
              <w:pStyle w:val="Compact"/>
            </w:pPr>
            <w:r>
              <w:t xml:space="preserve">Python (FastAPI)</w:t>
            </w:r>
          </w:p>
        </w:tc>
        <w:tc>
          <w:tcPr/>
          <w:p>
            <w:pPr>
              <w:pStyle w:val="Compact"/>
            </w:pPr>
            <w:r>
              <w:t xml:space="preserve">Backend API framework</w:t>
            </w:r>
          </w:p>
        </w:tc>
        <w:tc>
          <w:tcPr/>
          <w:p>
            <w:pPr>
              <w:pStyle w:val="Compact"/>
            </w:pPr>
            <w:r>
              <w:t xml:space="preserve">~2021</w:t>
            </w:r>
          </w:p>
        </w:tc>
        <w:tc>
          <w:tcPr/>
          <w:p>
            <w:pPr>
              <w:pStyle w:val="Compact"/>
            </w:pPr>
            <w:r>
              <w:t xml:space="preserve">Open source</w:t>
            </w:r>
          </w:p>
        </w:tc>
        <w:tc>
          <w:tcPr/>
          <w:p>
            <w:pPr>
              <w:pStyle w:val="Compact"/>
            </w:pPr>
            <w:r>
              <w:t xml:space="preserve">15+ microservices in production</w:t>
            </w:r>
          </w:p>
        </w:tc>
      </w:tr>
      <w:tr>
        <w:tc>
          <w:tcPr/>
          <w:p>
            <w:pPr>
              <w:pStyle w:val="Compact"/>
            </w:pPr>
            <w:r>
              <w:t xml:space="preserve">React</w:t>
            </w:r>
          </w:p>
        </w:tc>
        <w:tc>
          <w:tcPr/>
          <w:p>
            <w:pPr>
              <w:pStyle w:val="Compact"/>
            </w:pPr>
            <w:r>
              <w:t xml:space="preserve">Frontend framework</w:t>
            </w:r>
          </w:p>
        </w:tc>
        <w:tc>
          <w:tcPr/>
          <w:p>
            <w:pPr>
              <w:pStyle w:val="Compact"/>
            </w:pPr>
            <w:r>
              <w:t xml:space="preserve">~2021</w:t>
            </w:r>
          </w:p>
        </w:tc>
        <w:tc>
          <w:tcPr/>
          <w:p>
            <w:pPr>
              <w:pStyle w:val="Compact"/>
            </w:pPr>
            <w:r>
              <w:t xml:space="preserve">Open source (Meta)</w:t>
            </w:r>
          </w:p>
        </w:tc>
        <w:tc>
          <w:tcPr/>
          <w:p>
            <w:pPr>
              <w:pStyle w:val="Compact"/>
            </w:pPr>
            <w:r>
              <w:t xml:space="preserve">Client-facing dashboards and internal tools</w:t>
            </w:r>
          </w:p>
        </w:tc>
      </w:tr>
      <w:tr>
        <w:tc>
          <w:tcPr/>
          <w:p>
            <w:pPr>
              <w:pStyle w:val="Compact"/>
            </w:pPr>
            <w:r>
              <w:t xml:space="preserve">Legacy PHP applications</w:t>
            </w:r>
          </w:p>
        </w:tc>
        <w:tc>
          <w:tcPr/>
          <w:p>
            <w:pPr>
              <w:pStyle w:val="Compact"/>
            </w:pPr>
            <w:r>
              <w:t xml:space="preserve">Older application components</w:t>
            </w:r>
          </w:p>
        </w:tc>
        <w:tc>
          <w:tcPr/>
          <w:p>
            <w:pPr>
              <w:pStyle w:val="Compact"/>
            </w:pPr>
            <w:r>
              <w:t xml:space="preserve">~2012</w:t>
            </w:r>
          </w:p>
        </w:tc>
        <w:tc>
          <w:tcPr/>
          <w:p>
            <w:pPr>
              <w:pStyle w:val="Compact"/>
            </w:pPr>
            <w:r>
              <w:t xml:space="preserve">Open source</w:t>
            </w:r>
          </w:p>
        </w:tc>
        <w:tc>
          <w:tcPr/>
          <w:p>
            <w:pPr>
              <w:pStyle w:val="Compact"/>
            </w:pPr>
            <w:r>
              <w:t xml:space="preserve">Technical debt; pre-dates current security standards</w:t>
            </w:r>
          </w:p>
        </w:tc>
      </w:tr>
    </w:tbl>
    <w:bookmarkEnd w:id="24"/>
    <w:bookmarkStart w:id="25" w:name="analytics"/>
    <w:p>
      <w:pPr>
        <w:pStyle w:val="Heading3"/>
      </w:pPr>
      <w:r>
        <w:t xml:space="preserve">Analytics</w:t>
      </w:r>
    </w:p>
    <w:tbl>
      <w:tblPr>
        <w:tblStyle w:val="Table"/>
        <w:tblW w:type="pct" w:w="5000"/>
        <w:tblLayout w:type="fixed"/>
        <w:tblLook w:firstRow="1" w:lastRow="0" w:firstColumn="0" w:lastColumn="0" w:noHBand="0" w:noVBand="0" w:val="0020"/>
      </w:tblPr>
      <w:tblGrid>
        <w:gridCol w:w="1005"/>
        <w:gridCol w:w="1131"/>
        <w:gridCol w:w="1257"/>
        <w:gridCol w:w="2137"/>
        <w:gridCol w:w="2388"/>
      </w:tblGrid>
      <w:tr>
        <w:trPr>
          <w:tblHeader w:val="on"/>
        </w:trPr>
        <w:tc>
          <w:tcPr/>
          <w:p>
            <w:pPr>
              <w:pStyle w:val="Compact"/>
            </w:pPr>
            <w:r>
              <w:t xml:space="preserve">System</w:t>
            </w:r>
          </w:p>
        </w:tc>
        <w:tc>
          <w:tcPr/>
          <w:p>
            <w:pPr>
              <w:pStyle w:val="Compact"/>
            </w:pPr>
            <w:r>
              <w:t xml:space="preserve">Purpose</w:t>
            </w:r>
          </w:p>
        </w:tc>
        <w:tc>
          <w:tcPr/>
          <w:p>
            <w:pPr>
              <w:pStyle w:val="Compact"/>
            </w:pPr>
            <w:r>
              <w:t xml:space="preserve">Deployed</w:t>
            </w:r>
          </w:p>
        </w:tc>
        <w:tc>
          <w:tcPr/>
          <w:p>
            <w:pPr>
              <w:pStyle w:val="Compact"/>
            </w:pPr>
            <w:r>
              <w:t xml:space="preserve">Vendor/Platform</w:t>
            </w:r>
          </w:p>
        </w:tc>
        <w:tc>
          <w:tcPr/>
          <w:p>
            <w:pPr>
              <w:pStyle w:val="Compact"/>
            </w:pPr>
            <w:r>
              <w:t xml:space="preserve">Integration Status</w:t>
            </w:r>
          </w:p>
        </w:tc>
      </w:tr>
      <w:tr>
        <w:tc>
          <w:tcPr/>
          <w:p>
            <w:pPr>
              <w:pStyle w:val="Compact"/>
            </w:pPr>
            <w:r>
              <w:t xml:space="preserve">Power BI</w:t>
            </w:r>
          </w:p>
        </w:tc>
        <w:tc>
          <w:tcPr/>
          <w:p>
            <w:pPr>
              <w:pStyle w:val="Compact"/>
            </w:pPr>
            <w:r>
              <w:t xml:space="preserve">Business intelligence dashboards</w:t>
            </w:r>
          </w:p>
        </w:tc>
        <w:tc>
          <w:tcPr/>
          <w:p>
            <w:pPr>
              <w:pStyle w:val="Compact"/>
            </w:pPr>
            <w:r>
              <w:t xml:space="preserve">~2022</w:t>
            </w:r>
          </w:p>
        </w:tc>
        <w:tc>
          <w:tcPr/>
          <w:p>
            <w:pPr>
              <w:pStyle w:val="Compact"/>
            </w:pPr>
            <w:r>
              <w:t xml:space="preserve">Microsoft</w:t>
            </w:r>
          </w:p>
        </w:tc>
        <w:tc>
          <w:tcPr/>
          <w:p>
            <w:pPr>
              <w:pStyle w:val="Compact"/>
            </w:pPr>
            <w:r>
              <w:t xml:space="preserve">Used by data team; manual data imports from multiple sources</w:t>
            </w:r>
          </w:p>
        </w:tc>
      </w:tr>
      <w:tr>
        <w:tc>
          <w:tcPr/>
          <w:p>
            <w:pPr>
              <w:pStyle w:val="Compact"/>
            </w:pPr>
            <w:r>
              <w:t xml:space="preserve">Excel</w:t>
            </w:r>
          </w:p>
        </w:tc>
        <w:tc>
          <w:tcPr/>
          <w:p>
            <w:pPr>
              <w:pStyle w:val="Compact"/>
            </w:pPr>
            <w:r>
              <w:t xml:space="preserve">Ad-hoc analysis and reporting</w:t>
            </w:r>
          </w:p>
        </w:tc>
        <w:tc>
          <w:tcPr/>
          <w:p>
            <w:pPr>
              <w:pStyle w:val="Compact"/>
            </w:pPr>
            <w:r>
              <w:t xml:space="preserve">N/A</w:t>
            </w:r>
          </w:p>
        </w:tc>
        <w:tc>
          <w:tcPr/>
          <w:p>
            <w:pPr>
              <w:pStyle w:val="Compact"/>
            </w:pPr>
            <w:r>
              <w:t xml:space="preserve">Microsoft</w:t>
            </w:r>
          </w:p>
        </w:tc>
        <w:tc>
          <w:tcPr/>
          <w:p>
            <w:pPr>
              <w:pStyle w:val="Compact"/>
            </w:pPr>
            <w:r>
              <w:t xml:space="preserve">Still heavily used for financial and operational reporting</w:t>
            </w:r>
          </w:p>
        </w:tc>
      </w:tr>
    </w:tbl>
    <w:p>
      <w:pPr>
        <w:pStyle w:val="BodyText"/>
      </w:pPr>
      <w:r>
        <w:rPr>
          <w:b/>
          <w:bCs/>
        </w:rPr>
        <w:t xml:space="preserve">Notable gaps:</w:t>
      </w:r>
      <w:r>
        <w:t xml:space="preserve"> </w:t>
      </w:r>
      <w:r>
        <w:t xml:space="preserve">No data warehouse or data lake. No ML/AI platform (no SageMaker, Azure ML, or equivalent deployed). No MLOps or model management tooling. No real-time analytics pipeline. No dedicated ETL platform.</w:t>
      </w:r>
    </w:p>
    <w:p>
      <w:r>
        <w:pict>
          <v:rect style="width:0;height:1.5pt" o:hralign="center" o:hrstd="t" o:hr="t"/>
        </w:pict>
      </w:r>
    </w:p>
    <w:bookmarkEnd w:id="25"/>
    <w:bookmarkEnd w:id="26"/>
    <w:bookmarkStart w:id="30" w:name="data-flow-overview"/>
    <w:p>
      <w:pPr>
        <w:pStyle w:val="Heading2"/>
      </w:pPr>
      <w:r>
        <w:t xml:space="preserve">Data Flow Overview</w:t>
      </w:r>
    </w:p>
    <w:p>
      <w:pPr>
        <w:pStyle w:val="FirstParagraph"/>
      </w:pPr>
      <w:r>
        <w:t xml:space="preserve">Data moves through Cloudcore’s environment primarily via manual processes and point-to-point integrations. There is no centralised data platform or integration layer.</w:t>
      </w:r>
    </w:p>
    <w:bookmarkStart w:id="27" w:name="how-data-currently-flows"/>
    <w:p>
      <w:pPr>
        <w:pStyle w:val="Heading3"/>
      </w:pPr>
      <w:r>
        <w:t xml:space="preserve">How Data Currently Flows</w:t>
      </w:r>
    </w:p>
    <w:p>
      <w:pPr>
        <w:pStyle w:val="SourceCode"/>
      </w:pPr>
      <w:r>
        <w:rPr>
          <w:rStyle w:val="VerbatimChar"/>
        </w:rPr>
        <w:t xml:space="preserve">Infrastructure Telemetry          Customer Interactions</w:t>
      </w:r>
      <w:r>
        <w:br/>
      </w:r>
      <w:r>
        <w:rPr>
          <w:rStyle w:val="VerbatimChar"/>
        </w:rPr>
        <w:t xml:space="preserve">(Prometheus, Grafana)             (Support tickets, CRM)</w:t>
      </w:r>
      <w:r>
        <w:br/>
      </w:r>
      <w:r>
        <w:rPr>
          <w:rStyle w:val="VerbatimChar"/>
        </w:rPr>
        <w:t xml:space="preserve">        |                                  |</w:t>
      </w:r>
      <w:r>
        <w:br/>
      </w:r>
      <w:r>
        <w:rPr>
          <w:rStyle w:val="VerbatimChar"/>
        </w:rPr>
        <w:t xml:space="preserve">        v                                  v</w:t>
      </w:r>
      <w:r>
        <w:br/>
      </w:r>
      <w:r>
        <w:rPr>
          <w:rStyle w:val="VerbatimChar"/>
        </w:rPr>
        <w:t xml:space="preserve">  Splunk SIEM  &lt;-- Security logs     HubSpot CRM</w:t>
      </w:r>
      <w:r>
        <w:br/>
      </w:r>
      <w:r>
        <w:rPr>
          <w:rStyle w:val="VerbatimChar"/>
        </w:rPr>
        <w:t xml:space="preserve">  (security only)                   (marketing/sales only)</w:t>
      </w:r>
      <w:r>
        <w:br/>
      </w:r>
      <w:r>
        <w:rPr>
          <w:rStyle w:val="VerbatimChar"/>
        </w:rPr>
        <w:t xml:space="preserve">        |                                  |</w:t>
      </w:r>
      <w:r>
        <w:br/>
      </w:r>
      <w:r>
        <w:rPr>
          <w:rStyle w:val="VerbatimChar"/>
        </w:rPr>
        <w:t xml:space="preserve">        |        No integration            |</w:t>
      </w:r>
      <w:r>
        <w:br/>
      </w:r>
      <w:r>
        <w:rPr>
          <w:rStyle w:val="VerbatimChar"/>
        </w:rPr>
        <w:t xml:space="preserve">        |      &lt;----- GAP -----&gt;           |</w:t>
      </w:r>
      <w:r>
        <w:br/>
      </w:r>
      <w:r>
        <w:rPr>
          <w:rStyle w:val="VerbatimChar"/>
        </w:rPr>
        <w:t xml:space="preserve">        v                                  v</w:t>
      </w:r>
      <w:r>
        <w:br/>
      </w:r>
      <w:r>
        <w:rPr>
          <w:rStyle w:val="VerbatimChar"/>
        </w:rPr>
        <w:t xml:space="preserve">  Manual export                      Manual export</w:t>
      </w:r>
      <w:r>
        <w:br/>
      </w:r>
      <w:r>
        <w:rPr>
          <w:rStyle w:val="VerbatimChar"/>
        </w:rPr>
        <w:t xml:space="preserve">  to Excel/Power BI                  to Excel/Power BI</w:t>
      </w:r>
      <w:r>
        <w:br/>
      </w:r>
      <w:r>
        <w:rPr>
          <w:rStyle w:val="VerbatimChar"/>
        </w:rPr>
        <w:t xml:space="preserve">        |                                  |</w:t>
      </w:r>
      <w:r>
        <w:br/>
      </w:r>
      <w:r>
        <w:rPr>
          <w:rStyle w:val="VerbatimChar"/>
        </w:rPr>
        <w:t xml:space="preserve">        +----------&gt; Analyst &lt;-------------+</w:t>
      </w:r>
      <w:r>
        <w:br/>
      </w:r>
      <w:r>
        <w:rPr>
          <w:rStyle w:val="VerbatimChar"/>
        </w:rPr>
        <w:t xml:space="preserve">                   (Jamal's team)</w:t>
      </w:r>
      <w:r>
        <w:br/>
      </w:r>
      <w:r>
        <w:rPr>
          <w:rStyle w:val="VerbatimChar"/>
        </w:rPr>
        <w:t xml:space="preserve">                   Manual correlation</w:t>
      </w:r>
      <w:r>
        <w:br/>
      </w:r>
      <w:r>
        <w:rPr>
          <w:rStyle w:val="VerbatimChar"/>
        </w:rPr>
        <w:t xml:space="preserve">                        |</w:t>
      </w:r>
      <w:r>
        <w:br/>
      </w:r>
      <w:r>
        <w:rPr>
          <w:rStyle w:val="VerbatimChar"/>
        </w:rPr>
        <w:t xml:space="preserve">                        v</w:t>
      </w:r>
      <w:r>
        <w:br/>
      </w:r>
      <w:r>
        <w:rPr>
          <w:rStyle w:val="VerbatimChar"/>
        </w:rPr>
        <w:t xml:space="preserve">                   Static reports</w:t>
      </w:r>
      <w:r>
        <w:br/>
      </w:r>
      <w:r>
        <w:rPr>
          <w:rStyle w:val="VerbatimChar"/>
        </w:rPr>
        <w:t xml:space="preserve">                   (weekly/monthly)</w:t>
      </w:r>
    </w:p>
    <w:bookmarkEnd w:id="27"/>
    <w:bookmarkStart w:id="28" w:name="key-data-silos"/>
    <w:p>
      <w:pPr>
        <w:pStyle w:val="Heading3"/>
      </w:pPr>
      <w:r>
        <w:t xml:space="preserve">Key Data Silos</w:t>
      </w:r>
    </w:p>
    <w:tbl>
      <w:tblPr>
        <w:tblStyle w:val="Table"/>
        <w:tblW w:type="pct" w:w="5000"/>
        <w:tblLayout w:type="fixed"/>
        <w:tblLook w:firstRow="1" w:lastRow="0" w:firstColumn="0" w:lastColumn="0" w:noHBand="0" w:noVBand="0" w:val="0020"/>
      </w:tblPr>
      <w:tblGrid>
        <w:gridCol w:w="2511"/>
        <w:gridCol w:w="1545"/>
        <w:gridCol w:w="1352"/>
        <w:gridCol w:w="2511"/>
      </w:tblGrid>
      <w:tr>
        <w:trPr>
          <w:tblHeader w:val="on"/>
        </w:trPr>
        <w:tc>
          <w:tcPr/>
          <w:p>
            <w:pPr>
              <w:pStyle w:val="Compact"/>
            </w:pPr>
            <w:r>
              <w:t xml:space="preserve">Data Source</w:t>
            </w:r>
          </w:p>
        </w:tc>
        <w:tc>
          <w:tcPr/>
          <w:p>
            <w:pPr>
              <w:pStyle w:val="Compact"/>
            </w:pPr>
            <w:r>
              <w:t xml:space="preserve">System</w:t>
            </w:r>
          </w:p>
        </w:tc>
        <w:tc>
          <w:tcPr/>
          <w:p>
            <w:pPr>
              <w:pStyle w:val="Compact"/>
            </w:pPr>
            <w:r>
              <w:t xml:space="preserve">Owner</w:t>
            </w:r>
          </w:p>
        </w:tc>
        <w:tc>
          <w:tcPr/>
          <w:p>
            <w:pPr>
              <w:pStyle w:val="Compact"/>
            </w:pPr>
            <w:r>
              <w:t xml:space="preserve">Connected To</w:t>
            </w:r>
          </w:p>
        </w:tc>
      </w:tr>
      <w:tr>
        <w:tc>
          <w:tcPr/>
          <w:p>
            <w:pPr>
              <w:pStyle w:val="Compact"/>
            </w:pPr>
            <w:r>
              <w:t xml:space="preserve">Infrastructure metrics</w:t>
            </w:r>
          </w:p>
        </w:tc>
        <w:tc>
          <w:tcPr/>
          <w:p>
            <w:pPr>
              <w:pStyle w:val="Compact"/>
            </w:pPr>
            <w:r>
              <w:t xml:space="preserve">Prometheus/Grafana</w:t>
            </w:r>
          </w:p>
        </w:tc>
        <w:tc>
          <w:tcPr/>
          <w:p>
            <w:pPr>
              <w:pStyle w:val="Compact"/>
            </w:pPr>
            <w:r>
              <w:t xml:space="preserve">Infrastructure team (Martin Nguyen)</w:t>
            </w:r>
          </w:p>
        </w:tc>
        <w:tc>
          <w:tcPr/>
          <w:p>
            <w:pPr>
              <w:pStyle w:val="Compact"/>
            </w:pPr>
            <w:r>
              <w:t xml:space="preserve">PagerDuty (alerting only)</w:t>
            </w:r>
          </w:p>
        </w:tc>
      </w:tr>
      <w:tr>
        <w:tc>
          <w:tcPr/>
          <w:p>
            <w:pPr>
              <w:pStyle w:val="Compact"/>
            </w:pPr>
            <w:r>
              <w:t xml:space="preserve">Security events</w:t>
            </w:r>
          </w:p>
        </w:tc>
        <w:tc>
          <w:tcPr/>
          <w:p>
            <w:pPr>
              <w:pStyle w:val="Compact"/>
            </w:pPr>
            <w:r>
              <w:t xml:space="preserve">Splunk SIEM</w:t>
            </w:r>
          </w:p>
        </w:tc>
        <w:tc>
          <w:tcPr/>
          <w:p>
            <w:pPr>
              <w:pStyle w:val="Compact"/>
            </w:pPr>
            <w:r>
              <w:t xml:space="preserve">Security team (Sophia Martines)</w:t>
            </w:r>
          </w:p>
        </w:tc>
        <w:tc>
          <w:tcPr/>
          <w:p>
            <w:pPr>
              <w:pStyle w:val="Compact"/>
            </w:pPr>
            <w:r>
              <w:t xml:space="preserve">CrowdStrike, firewall logs</w:t>
            </w:r>
          </w:p>
        </w:tc>
      </w:tr>
      <w:tr>
        <w:tc>
          <w:tcPr/>
          <w:p>
            <w:pPr>
              <w:pStyle w:val="Compact"/>
            </w:pPr>
            <w:r>
              <w:t xml:space="preserve">Support tickets</w:t>
            </w:r>
          </w:p>
        </w:tc>
        <w:tc>
          <w:tcPr/>
          <w:p>
            <w:pPr>
              <w:pStyle w:val="Compact"/>
            </w:pPr>
            <w:r>
              <w:t xml:space="preserve">Internal ticketing system</w:t>
            </w:r>
          </w:p>
        </w:tc>
        <w:tc>
          <w:tcPr/>
          <w:p>
            <w:pPr>
              <w:pStyle w:val="Compact"/>
            </w:pPr>
            <w:r>
              <w:t xml:space="preserve">Support team (Samantha Wong)</w:t>
            </w:r>
          </w:p>
        </w:tc>
        <w:tc>
          <w:tcPr/>
          <w:p>
            <w:pPr>
              <w:pStyle w:val="Compact"/>
            </w:pPr>
            <w:r>
              <w:t xml:space="preserve">Nothing; manual reporting</w:t>
            </w:r>
          </w:p>
        </w:tc>
      </w:tr>
      <w:tr>
        <w:tc>
          <w:tcPr/>
          <w:p>
            <w:pPr>
              <w:pStyle w:val="Compact"/>
            </w:pPr>
            <w:r>
              <w:t xml:space="preserve">Customer records</w:t>
            </w:r>
          </w:p>
        </w:tc>
        <w:tc>
          <w:tcPr/>
          <w:p>
            <w:pPr>
              <w:pStyle w:val="Compact"/>
            </w:pPr>
            <w:r>
              <w:t xml:space="preserve">HubSpot CRM</w:t>
            </w:r>
          </w:p>
        </w:tc>
        <w:tc>
          <w:tcPr/>
          <w:p>
            <w:pPr>
              <w:pStyle w:val="Compact"/>
            </w:pPr>
            <w:r>
              <w:t xml:space="preserve">Marketing/Sales (Lisa Chen)</w:t>
            </w:r>
          </w:p>
        </w:tc>
        <w:tc>
          <w:tcPr/>
          <w:p>
            <w:pPr>
              <w:pStyle w:val="Compact"/>
            </w:pPr>
            <w:r>
              <w:t xml:space="preserve">Email campaigns only</w:t>
            </w:r>
          </w:p>
        </w:tc>
      </w:tr>
      <w:tr>
        <w:tc>
          <w:tcPr/>
          <w:p>
            <w:pPr>
              <w:pStyle w:val="Compact"/>
            </w:pPr>
            <w:r>
              <w:t xml:space="preserve">Billing and invoicing</w:t>
            </w:r>
          </w:p>
        </w:tc>
        <w:tc>
          <w:tcPr/>
          <w:p>
            <w:pPr>
              <w:pStyle w:val="Compact"/>
            </w:pPr>
            <w:r>
              <w:t xml:space="preserve">Internal billing system</w:t>
            </w:r>
          </w:p>
        </w:tc>
        <w:tc>
          <w:tcPr/>
          <w:p>
            <w:pPr>
              <w:pStyle w:val="Compact"/>
            </w:pPr>
            <w:r>
              <w:t xml:space="preserve">Finance (Aisha Rahman)</w:t>
            </w:r>
          </w:p>
        </w:tc>
        <w:tc>
          <w:tcPr/>
          <w:p>
            <w:pPr>
              <w:pStyle w:val="Compact"/>
            </w:pPr>
            <w:r>
              <w:t xml:space="preserve">Manual reconciliation</w:t>
            </w:r>
          </w:p>
        </w:tc>
      </w:tr>
      <w:tr>
        <w:tc>
          <w:tcPr/>
          <w:p>
            <w:pPr>
              <w:pStyle w:val="Compact"/>
            </w:pPr>
            <w:r>
              <w:t xml:space="preserve">Service usage</w:t>
            </w:r>
          </w:p>
        </w:tc>
        <w:tc>
          <w:tcPr/>
          <w:p>
            <w:pPr>
              <w:pStyle w:val="Compact"/>
            </w:pPr>
            <w:r>
              <w:t xml:space="preserve">Provisioning and metering tools</w:t>
            </w:r>
          </w:p>
        </w:tc>
        <w:tc>
          <w:tcPr/>
          <w:p>
            <w:pPr>
              <w:pStyle w:val="Compact"/>
            </w:pPr>
            <w:r>
              <w:t xml:space="preserve">Operations (Martin Nguyen)</w:t>
            </w:r>
          </w:p>
        </w:tc>
        <w:tc>
          <w:tcPr/>
          <w:p>
            <w:pPr>
              <w:pStyle w:val="Compact"/>
            </w:pPr>
            <w:r>
              <w:t xml:space="preserve">Billing (batch, manual validation)</w:t>
            </w:r>
          </w:p>
        </w:tc>
      </w:tr>
      <w:tr>
        <w:tc>
          <w:tcPr/>
          <w:p>
            <w:pPr>
              <w:pStyle w:val="Compact"/>
            </w:pPr>
            <w:r>
              <w:t xml:space="preserve">HR and access</w:t>
            </w:r>
          </w:p>
        </w:tc>
        <w:tc>
          <w:tcPr/>
          <w:p>
            <w:pPr>
              <w:pStyle w:val="Compact"/>
            </w:pPr>
            <w:r>
              <w:t xml:space="preserve">Auth0 + Active Directory</w:t>
            </w:r>
          </w:p>
        </w:tc>
        <w:tc>
          <w:tcPr/>
          <w:p>
            <w:pPr>
              <w:pStyle w:val="Compact"/>
            </w:pPr>
            <w:r>
              <w:t xml:space="preserve">HR/IT (Karen Lee, Raj Patel)</w:t>
            </w:r>
          </w:p>
        </w:tc>
        <w:tc>
          <w:tcPr/>
          <w:p>
            <w:pPr>
              <w:pStyle w:val="Compact"/>
            </w:pPr>
            <w:r>
              <w:t xml:space="preserve">Partial RBAC; ~40% over-provisioned</w:t>
            </w:r>
          </w:p>
        </w:tc>
      </w:tr>
    </w:tbl>
    <w:bookmarkEnd w:id="28"/>
    <w:bookmarkStart w:id="29" w:name="manual-processes-and-gaps"/>
    <w:p>
      <w:pPr>
        <w:pStyle w:val="Heading3"/>
      </w:pPr>
      <w:r>
        <w:t xml:space="preserve">Manual Processes and Gaps</w:t>
      </w:r>
    </w:p>
    <w:p>
      <w:pPr>
        <w:pStyle w:val="Compact"/>
        <w:numPr>
          <w:ilvl w:val="0"/>
          <w:numId w:val="1001"/>
        </w:numPr>
      </w:pPr>
      <w:r>
        <w:rPr>
          <w:b/>
          <w:bCs/>
        </w:rPr>
        <w:t xml:space="preserve">Billing reconciliation:</w:t>
      </w:r>
      <w:r>
        <w:t xml:space="preserve"> </w:t>
      </w:r>
      <w:r>
        <w:t xml:space="preserve">Service usage data is manually validated against billing records. Errors are common and time-consuming to resolve.</w:t>
      </w:r>
    </w:p>
    <w:p>
      <w:pPr>
        <w:pStyle w:val="Compact"/>
        <w:numPr>
          <w:ilvl w:val="0"/>
          <w:numId w:val="1001"/>
        </w:numPr>
      </w:pPr>
      <w:r>
        <w:rPr>
          <w:b/>
          <w:bCs/>
        </w:rPr>
        <w:t xml:space="preserve">Customer health reporting:</w:t>
      </w:r>
      <w:r>
        <w:t xml:space="preserve"> </w:t>
      </w:r>
      <w:r>
        <w:t xml:space="preserve">No automated way to correlate support tickets, usage patterns, and billing data for a single customer. Jamal’s team builds reports manually in Power BI from exported CSVs.</w:t>
      </w:r>
    </w:p>
    <w:p>
      <w:pPr>
        <w:pStyle w:val="Compact"/>
        <w:numPr>
          <w:ilvl w:val="0"/>
          <w:numId w:val="1001"/>
        </w:numPr>
      </w:pPr>
      <w:r>
        <w:rPr>
          <w:b/>
          <w:bCs/>
        </w:rPr>
        <w:t xml:space="preserve">Security-to-operations handoff:</w:t>
      </w:r>
      <w:r>
        <w:t xml:space="preserve"> </w:t>
      </w:r>
      <w:r>
        <w:t xml:space="preserve">Security alerts in Splunk are triaged manually. No automated ticket creation for operational follow-up.</w:t>
      </w:r>
    </w:p>
    <w:p>
      <w:pPr>
        <w:pStyle w:val="Compact"/>
        <w:numPr>
          <w:ilvl w:val="0"/>
          <w:numId w:val="1001"/>
        </w:numPr>
      </w:pPr>
      <w:r>
        <w:rPr>
          <w:b/>
          <w:bCs/>
        </w:rPr>
        <w:t xml:space="preserve">Access provisioning:</w:t>
      </w:r>
      <w:r>
        <w:t xml:space="preserve"> </w:t>
      </w:r>
      <w:r>
        <w:t xml:space="preserve">Onboarding and role changes require manual coordination between HR, IT, and department managers. Quarterly access reviews found ~40% of employees have broader access than required.</w:t>
      </w:r>
    </w:p>
    <w:p>
      <w:pPr>
        <w:pStyle w:val="Compact"/>
        <w:numPr>
          <w:ilvl w:val="0"/>
          <w:numId w:val="1001"/>
        </w:numPr>
      </w:pPr>
      <w:r>
        <w:rPr>
          <w:b/>
          <w:bCs/>
        </w:rPr>
        <w:t xml:space="preserve">Capacity planning:</w:t>
      </w:r>
      <w:r>
        <w:t xml:space="preserve"> </w:t>
      </w:r>
      <w:r>
        <w:t xml:space="preserve">Based on historical trends in spreadsheets. No predictive modelling or automated forecasting.</w:t>
      </w:r>
    </w:p>
    <w:p>
      <w:r>
        <w:pict>
          <v:rect style="width:0;height:1.5pt" o:hralign="center" o:hrstd="t" o:hr="t"/>
        </w:pict>
      </w:r>
    </w:p>
    <w:bookmarkEnd w:id="29"/>
    <w:bookmarkEnd w:id="30"/>
    <w:bookmarkStart w:id="35" w:name="resource-availability"/>
    <w:p>
      <w:pPr>
        <w:pStyle w:val="Heading2"/>
      </w:pPr>
      <w:r>
        <w:t xml:space="preserve">Resource Availability</w:t>
      </w:r>
    </w:p>
    <w:bookmarkStart w:id="31" w:name="team-capacity"/>
    <w:p>
      <w:pPr>
        <w:pStyle w:val="Heading3"/>
      </w:pPr>
      <w:r>
        <w:t xml:space="preserve">Team Capacity</w:t>
      </w:r>
    </w:p>
    <w:tbl>
      <w:tblPr>
        <w:tblStyle w:val="Table"/>
        <w:tblW w:type="pct" w:w="5000"/>
        <w:tblLayout w:type="fixed"/>
        <w:tblLook w:firstRow="1" w:lastRow="0" w:firstColumn="0" w:lastColumn="0" w:noHBand="0" w:noVBand="0" w:val="0020"/>
      </w:tblPr>
      <w:tblGrid>
        <w:gridCol w:w="792"/>
        <w:gridCol w:w="1452"/>
        <w:gridCol w:w="2640"/>
        <w:gridCol w:w="3036"/>
      </w:tblGrid>
      <w:tr>
        <w:trPr>
          <w:tblHeader w:val="on"/>
        </w:trPr>
        <w:tc>
          <w:tcPr/>
          <w:p>
            <w:pPr>
              <w:pStyle w:val="Compact"/>
            </w:pPr>
            <w:r>
              <w:t xml:space="preserve">Team</w:t>
            </w:r>
          </w:p>
        </w:tc>
        <w:tc>
          <w:tcPr/>
          <w:p>
            <w:pPr>
              <w:pStyle w:val="Compact"/>
            </w:pPr>
            <w:r>
              <w:t xml:space="preserve">Headcount</w:t>
            </w:r>
          </w:p>
        </w:tc>
        <w:tc>
          <w:tcPr/>
          <w:p>
            <w:pPr>
              <w:pStyle w:val="Compact"/>
            </w:pPr>
            <w:r>
              <w:t xml:space="preserve">Current Commitments</w:t>
            </w:r>
          </w:p>
        </w:tc>
        <w:tc>
          <w:tcPr/>
          <w:p>
            <w:pPr>
              <w:pStyle w:val="Compact"/>
            </w:pPr>
            <w:r>
              <w:t xml:space="preserve">Available for AI Work</w:t>
            </w:r>
          </w:p>
        </w:tc>
      </w:tr>
      <w:tr>
        <w:tc>
          <w:tcPr/>
          <w:p>
            <w:pPr>
              <w:pStyle w:val="Compact"/>
            </w:pPr>
            <w:r>
              <w:t xml:space="preserve">Infrastructure engineering</w:t>
            </w:r>
          </w:p>
        </w:tc>
        <w:tc>
          <w:tcPr/>
          <w:p>
            <w:pPr>
              <w:pStyle w:val="Compact"/>
            </w:pPr>
            <w:r>
              <w:t xml:space="preserve">12</w:t>
            </w:r>
          </w:p>
        </w:tc>
        <w:tc>
          <w:tcPr/>
          <w:p>
            <w:pPr>
              <w:pStyle w:val="Compact"/>
            </w:pPr>
            <w:r>
              <w:t xml:space="preserve">Day-to-day operations, CSMP infrastructure, zero trust planning</w:t>
            </w:r>
          </w:p>
        </w:tc>
        <w:tc>
          <w:tcPr/>
          <w:p>
            <w:pPr>
              <w:pStyle w:val="Compact"/>
            </w:pPr>
            <w:r>
              <w:t xml:space="preserve">Limited; 1 to 2 engineers could be partially allocated</w:t>
            </w:r>
          </w:p>
        </w:tc>
      </w:tr>
      <w:tr>
        <w:tc>
          <w:tcPr/>
          <w:p>
            <w:pPr>
              <w:pStyle w:val="Compact"/>
            </w:pPr>
            <w:r>
              <w:t xml:space="preserve">Software development</w:t>
            </w:r>
          </w:p>
        </w:tc>
        <w:tc>
          <w:tcPr/>
          <w:p>
            <w:pPr>
              <w:pStyle w:val="Compact"/>
            </w:pPr>
            <w:r>
              <w:t xml:space="preserve">7</w:t>
            </w:r>
          </w:p>
        </w:tc>
        <w:tc>
          <w:tcPr/>
          <w:p>
            <w:pPr>
              <w:pStyle w:val="Compact"/>
            </w:pPr>
            <w:r>
              <w:t xml:space="preserve">CSMP development (primary focus), legacy maintenance, security remediation</w:t>
            </w:r>
          </w:p>
        </w:tc>
        <w:tc>
          <w:tcPr/>
          <w:p>
            <w:pPr>
              <w:pStyle w:val="Compact"/>
            </w:pPr>
            <w:r>
              <w:t xml:space="preserve">Very limited; CSMP is consuming most capacity</w:t>
            </w:r>
          </w:p>
        </w:tc>
      </w:tr>
      <w:tr>
        <w:tc>
          <w:tcPr/>
          <w:p>
            <w:pPr>
              <w:pStyle w:val="Compact"/>
            </w:pPr>
            <w:r>
              <w:t xml:space="preserve">Security</w:t>
            </w:r>
          </w:p>
        </w:tc>
        <w:tc>
          <w:tcPr/>
          <w:p>
            <w:pPr>
              <w:pStyle w:val="Compact"/>
            </w:pPr>
            <w:r>
              <w:t xml:space="preserve">8</w:t>
            </w:r>
          </w:p>
        </w:tc>
        <w:tc>
          <w:tcPr/>
          <w:p>
            <w:pPr>
              <w:pStyle w:val="Compact"/>
            </w:pPr>
            <w:r>
              <w:t xml:space="preserve">Post-breach remediation, ongoing monitoring, compliance, zero trust planning</w:t>
            </w:r>
          </w:p>
        </w:tc>
        <w:tc>
          <w:tcPr/>
          <w:p>
            <w:pPr>
              <w:pStyle w:val="Compact"/>
            </w:pPr>
            <w:r>
              <w:t xml:space="preserve">Minimal; team already needs 3+ additional hires</w:t>
            </w:r>
          </w:p>
        </w:tc>
      </w:tr>
      <w:tr>
        <w:tc>
          <w:tcPr/>
          <w:p>
            <w:pPr>
              <w:pStyle w:val="Compact"/>
            </w:pPr>
            <w:r>
              <w:t xml:space="preserve">Customer support</w:t>
            </w:r>
          </w:p>
        </w:tc>
        <w:tc>
          <w:tcPr/>
          <w:p>
            <w:pPr>
              <w:pStyle w:val="Compact"/>
            </w:pPr>
            <w:r>
              <w:t xml:space="preserve">8</w:t>
            </w:r>
          </w:p>
        </w:tc>
        <w:tc>
          <w:tcPr/>
          <w:p>
            <w:pPr>
              <w:pStyle w:val="Compact"/>
            </w:pPr>
            <w:r>
              <w:t xml:space="preserve">500+ client support, 24/7 coverage</w:t>
            </w:r>
          </w:p>
        </w:tc>
        <w:tc>
          <w:tcPr/>
          <w:p>
            <w:pPr>
              <w:pStyle w:val="Compact"/>
            </w:pPr>
            <w:r>
              <w:t xml:space="preserve">None; fully committed to operational support</w:t>
            </w:r>
          </w:p>
        </w:tc>
      </w:tr>
      <w:tr>
        <w:tc>
          <w:tcPr/>
          <w:p>
            <w:pPr>
              <w:pStyle w:val="Compact"/>
            </w:pPr>
            <w:r>
              <w:t xml:space="preserve">Data and analytics</w:t>
            </w:r>
          </w:p>
        </w:tc>
        <w:tc>
          <w:tcPr/>
          <w:p>
            <w:pPr>
              <w:pStyle w:val="Compact"/>
            </w:pPr>
            <w:r>
              <w:t xml:space="preserve">2</w:t>
            </w:r>
          </w:p>
        </w:tc>
        <w:tc>
          <w:tcPr/>
          <w:p>
            <w:pPr>
              <w:pStyle w:val="Compact"/>
            </w:pPr>
            <w:r>
              <w:t xml:space="preserve">Operational reporting, ad-hoc analysis for all departments</w:t>
            </w:r>
          </w:p>
        </w:tc>
        <w:tc>
          <w:tcPr/>
          <w:p>
            <w:pPr>
              <w:pStyle w:val="Compact"/>
            </w:pPr>
            <w:r>
              <w:t xml:space="preserve">Severely constrained; any AI data preparation would compete with BAU reporting</w:t>
            </w:r>
          </w:p>
        </w:tc>
      </w:tr>
      <w:tr>
        <w:tc>
          <w:tcPr/>
          <w:p>
            <w:pPr>
              <w:pStyle w:val="Compact"/>
            </w:pPr>
            <w:r>
              <w:t xml:space="preserve">IT operations</w:t>
            </w:r>
          </w:p>
        </w:tc>
        <w:tc>
          <w:tcPr/>
          <w:p>
            <w:pPr>
              <w:pStyle w:val="Compact"/>
            </w:pPr>
            <w:r>
              <w:t xml:space="preserve">4</w:t>
            </w:r>
          </w:p>
        </w:tc>
        <w:tc>
          <w:tcPr/>
          <w:p>
            <w:pPr>
              <w:pStyle w:val="Compact"/>
            </w:pPr>
            <w:r>
              <w:t xml:space="preserve">Infrastructure maintenance, on-call rotation, patching, access management</w:t>
            </w:r>
          </w:p>
        </w:tc>
        <w:tc>
          <w:tcPr/>
          <w:p>
            <w:pPr>
              <w:pStyle w:val="Compact"/>
            </w:pPr>
            <w:r>
              <w:t xml:space="preserve">Minimal; understaffed for current workload</w:t>
            </w:r>
          </w:p>
        </w:tc>
      </w:tr>
    </w:tbl>
    <w:bookmarkEnd w:id="31"/>
    <w:bookmarkStart w:id="32" w:name="competing-commitments"/>
    <w:p>
      <w:pPr>
        <w:pStyle w:val="Heading3"/>
      </w:pPr>
      <w:r>
        <w:t xml:space="preserve">Competing Commitments</w:t>
      </w:r>
    </w:p>
    <w:p>
      <w:pPr>
        <w:pStyle w:val="FirstParagraph"/>
      </w:pPr>
      <w:r>
        <w:rPr>
          <w:b/>
          <w:bCs/>
        </w:rPr>
        <w:t xml:space="preserve">Cloud Service Management Platform (CSMP):</w:t>
      </w:r>
      <w:r>
        <w:t xml:space="preserve"> </w:t>
      </w:r>
      <w:r>
        <w:t xml:space="preserve">This is Cloudcore’s largest active project, consuming the majority of development and a significant share of infrastructure team capacity. The CSMP aims to replace fragmented service provisioning, billing, and client management systems with an integrated platform. It is the primary pathway to enterprise market expansion. Any AI initiative will compete with CSMP for developer time, infrastructure resources, and management attention.</w:t>
      </w:r>
    </w:p>
    <w:p>
      <w:pPr>
        <w:pStyle w:val="BodyText"/>
      </w:pPr>
      <w:r>
        <w:rPr>
          <w:b/>
          <w:bCs/>
        </w:rPr>
        <w:t xml:space="preserve">Post-breach security remediation:</w:t>
      </w:r>
      <w:r>
        <w:t xml:space="preserve"> </w:t>
      </w:r>
      <w:r>
        <w:t xml:space="preserve">The security team is executing a multi-quarter programme including zero trust architecture planning, enhanced access controls, improved monitoring, and stricter third-party security assessments. This work is board-mandated and non-negotiable.</w:t>
      </w:r>
    </w:p>
    <w:p>
      <w:pPr>
        <w:pStyle w:val="BodyText"/>
      </w:pPr>
      <w:r>
        <w:rPr>
          <w:b/>
          <w:bCs/>
        </w:rPr>
        <w:t xml:space="preserve">ISO 27001 surveillance audit:</w:t>
      </w:r>
      <w:r>
        <w:t xml:space="preserve"> </w:t>
      </w:r>
      <w:r>
        <w:t xml:space="preserve">The certification achieved 18 months ago requires ongoing compliance activities. A surveillance audit is expected within the next 6 months.</w:t>
      </w:r>
    </w:p>
    <w:p>
      <w:pPr>
        <w:pStyle w:val="BodyText"/>
      </w:pPr>
      <w:r>
        <w:rPr>
          <w:b/>
          <w:bCs/>
        </w:rPr>
        <w:t xml:space="preserve">SOC 2 Type II renewal:</w:t>
      </w:r>
      <w:r>
        <w:t xml:space="preserve"> </w:t>
      </w:r>
      <w:r>
        <w:t xml:space="preserve">Annual recertification requires evidence collection and audit preparation, drawing on compliance, security, and IT teams.</w:t>
      </w:r>
    </w:p>
    <w:bookmarkEnd w:id="32"/>
    <w:bookmarkStart w:id="33" w:name="budget-envelope"/>
    <w:p>
      <w:pPr>
        <w:pStyle w:val="Heading3"/>
      </w:pPr>
      <w:r>
        <w:t xml:space="preserve">Budget Envelope</w:t>
      </w:r>
    </w:p>
    <w:p>
      <w:pPr>
        <w:pStyle w:val="FirstParagraph"/>
      </w:pPr>
      <w:r>
        <w:t xml:space="preserve">Consistent with the AI Opportunity Evaluation Pack, the proposed initial AI investment is</w:t>
      </w:r>
      <w:r>
        <w:t xml:space="preserve"> </w:t>
      </w:r>
      <w:r>
        <w:rPr>
          <w:b/>
          <w:bCs/>
        </w:rPr>
        <w:t xml:space="preserve">$250,000 AUD</w:t>
      </w:r>
      <w:r>
        <w:t xml:space="preserve"> </w:t>
      </w:r>
      <w:r>
        <w:t xml:space="preserve">over 12 months. This must cover all costs including tooling, talent, data preparation, and governance development. No additional capital expenditure has been approved.</w:t>
      </w:r>
    </w:p>
    <w:p>
      <w:pPr>
        <w:pStyle w:val="BodyText"/>
      </w:pPr>
      <w:r>
        <w:t xml:space="preserve">For context:</w:t>
      </w:r>
    </w:p>
    <w:p>
      <w:pPr>
        <w:pStyle w:val="Compact"/>
        <w:numPr>
          <w:ilvl w:val="0"/>
          <w:numId w:val="1002"/>
        </w:numPr>
      </w:pPr>
      <w:r>
        <w:t xml:space="preserve">A single ML engineer costs $180,000 to $250,000 AUD annually (market rate)</w:t>
      </w:r>
    </w:p>
    <w:p>
      <w:pPr>
        <w:pStyle w:val="Compact"/>
        <w:numPr>
          <w:ilvl w:val="0"/>
          <w:numId w:val="1002"/>
        </w:numPr>
      </w:pPr>
      <w:r>
        <w:t xml:space="preserve">Cloud AI platform licensing (e.g., SageMaker, Azure ML) typically runs $3,000 to $8,000 AUD per month for a modest deployment</w:t>
      </w:r>
    </w:p>
    <w:p>
      <w:pPr>
        <w:pStyle w:val="Compact"/>
        <w:numPr>
          <w:ilvl w:val="0"/>
          <w:numId w:val="1002"/>
        </w:numPr>
      </w:pPr>
      <w:r>
        <w:t xml:space="preserve">The $250,000 envelope is tight for any initiative that requires both a specialist hire and platform investment</w:t>
      </w:r>
    </w:p>
    <w:bookmarkEnd w:id="33"/>
    <w:bookmarkStart w:id="34" w:name="timeline-pressures"/>
    <w:p>
      <w:pPr>
        <w:pStyle w:val="Heading3"/>
      </w:pPr>
      <w:r>
        <w:t xml:space="preserve">Timeline Pressures</w:t>
      </w:r>
    </w:p>
    <w:p>
      <w:pPr>
        <w:pStyle w:val="Compact"/>
        <w:numPr>
          <w:ilvl w:val="0"/>
          <w:numId w:val="1003"/>
        </w:numPr>
      </w:pPr>
      <w:r>
        <w:rPr>
          <w:b/>
          <w:bCs/>
        </w:rPr>
        <w:t xml:space="preserve">Board expectations:</w:t>
      </w:r>
      <w:r>
        <w:t xml:space="preserve"> </w:t>
      </w:r>
      <w:r>
        <w:t xml:space="preserve">The board wants a clear AI positioning statement and evidence-based investment plan. Competitors are already marketing</w:t>
      </w:r>
      <w:r>
        <w:t xml:space="preserve"> </w:t>
      </w:r>
      <w:r>
        <w:t xml:space="preserve">“AI-powered”</w:t>
      </w:r>
      <w:r>
        <w:t xml:space="preserve"> </w:t>
      </w:r>
      <w:r>
        <w:t xml:space="preserve">services.</w:t>
      </w:r>
    </w:p>
    <w:p>
      <w:pPr>
        <w:pStyle w:val="Compact"/>
        <w:numPr>
          <w:ilvl w:val="0"/>
          <w:numId w:val="1003"/>
        </w:numPr>
      </w:pPr>
      <w:r>
        <w:rPr>
          <w:b/>
          <w:bCs/>
        </w:rPr>
        <w:t xml:space="preserve">CTO estimate:</w:t>
      </w:r>
      <w:r>
        <w:t xml:space="preserve"> </w:t>
      </w:r>
      <w:r>
        <w:t xml:space="preserve">6 to 12 months of data engineering work before any ML model could be trained on production data.</w:t>
      </w:r>
    </w:p>
    <w:p>
      <w:pPr>
        <w:pStyle w:val="Compact"/>
        <w:numPr>
          <w:ilvl w:val="0"/>
          <w:numId w:val="1003"/>
        </w:numPr>
      </w:pPr>
      <w:r>
        <w:rPr>
          <w:b/>
          <w:bCs/>
        </w:rPr>
        <w:t xml:space="preserve">Data analyst assessment:</w:t>
      </w:r>
      <w:r>
        <w:t xml:space="preserve"> </w:t>
      </w:r>
      <w:r>
        <w:t xml:space="preserve">Jamal Al-Sayed estimates the data is not</w:t>
      </w:r>
      <w:r>
        <w:t xml:space="preserve"> </w:t>
      </w:r>
      <w:r>
        <w:t xml:space="preserve">“AI ready”</w:t>
      </w:r>
      <w:r>
        <w:t xml:space="preserve"> </w:t>
      </w:r>
      <w:r>
        <w:t xml:space="preserve">and would need 6 to 12 months of preparation, including establishing consistent data definitions across systems.</w:t>
      </w:r>
    </w:p>
    <w:p>
      <w:pPr>
        <w:pStyle w:val="Compact"/>
        <w:numPr>
          <w:ilvl w:val="0"/>
          <w:numId w:val="1003"/>
        </w:numPr>
      </w:pPr>
      <w:r>
        <w:rPr>
          <w:b/>
          <w:bCs/>
        </w:rPr>
        <w:t xml:space="preserve">CSMP delivery pressure:</w:t>
      </w:r>
      <w:r>
        <w:t xml:space="preserve"> </w:t>
      </w:r>
      <w:r>
        <w:t xml:space="preserve">Delays to CSMP would affect enterprise market expansion, Cloudcore’s other strategic priority.</w:t>
      </w:r>
    </w:p>
    <w:p>
      <w:r>
        <w:pict>
          <v:rect style="width:0;height:1.5pt" o:hralign="center" o:hrstd="t" o:hr="t"/>
        </w:pict>
      </w:r>
    </w:p>
    <w:bookmarkEnd w:id="34"/>
    <w:bookmarkEnd w:id="35"/>
    <w:bookmarkStart w:id="36" w:name="existing-vendor-relationships"/>
    <w:p>
      <w:pPr>
        <w:pStyle w:val="Heading2"/>
      </w:pPr>
      <w:r>
        <w:t xml:space="preserve">Existing Vendor Relationships</w:t>
      </w:r>
    </w:p>
    <w:p>
      <w:pPr>
        <w:pStyle w:val="FirstParagraph"/>
      </w:pPr>
      <w:r>
        <w:t xml:space="preserve">Cloudcore maintains relationships with the following approved vendors, as documented in DOC-COMP-007. Any AI vendor engagement would need to go through Cloudcore’s third-party risk assessment process (strengthened post-breach).</w:t>
      </w:r>
    </w:p>
    <w:tbl>
      <w:tblPr>
        <w:tblStyle w:val="Table"/>
        <w:tblW w:type="pct" w:w="5000"/>
        <w:tblLayout w:type="fixed"/>
        <w:tblLook w:firstRow="1" w:lastRow="0" w:firstColumn="0" w:lastColumn="0" w:noHBand="0" w:noVBand="0" w:val="0020"/>
      </w:tblPr>
      <w:tblGrid>
        <w:gridCol w:w="1863"/>
        <w:gridCol w:w="2329"/>
        <w:gridCol w:w="3727"/>
      </w:tblGrid>
      <w:tr>
        <w:trPr>
          <w:tblHeader w:val="on"/>
        </w:trPr>
        <w:tc>
          <w:tcPr/>
          <w:p>
            <w:pPr>
              <w:pStyle w:val="Compact"/>
            </w:pPr>
            <w:r>
              <w:t xml:space="preserve">Vendor</w:t>
            </w:r>
          </w:p>
        </w:tc>
        <w:tc>
          <w:tcPr/>
          <w:p>
            <w:pPr>
              <w:pStyle w:val="Compact"/>
            </w:pPr>
            <w:r>
              <w:t xml:space="preserve">Category</w:t>
            </w:r>
          </w:p>
        </w:tc>
        <w:tc>
          <w:tcPr/>
          <w:p>
            <w:pPr>
              <w:pStyle w:val="Compact"/>
            </w:pPr>
            <w:r>
              <w:t xml:space="preserve">Relevance to AI</w:t>
            </w:r>
          </w:p>
        </w:tc>
      </w:tr>
      <w:tr>
        <w:tc>
          <w:tcPr/>
          <w:p>
            <w:pPr>
              <w:pStyle w:val="Compact"/>
            </w:pPr>
            <w:r>
              <w:t xml:space="preserve">AWS</w:t>
            </w:r>
          </w:p>
        </w:tc>
        <w:tc>
          <w:tcPr/>
          <w:p>
            <w:pPr>
              <w:pStyle w:val="Compact"/>
            </w:pPr>
            <w:r>
              <w:t xml:space="preserve">Cloud infrastructure</w:t>
            </w:r>
          </w:p>
        </w:tc>
        <w:tc>
          <w:tcPr/>
          <w:p>
            <w:pPr>
              <w:pStyle w:val="Compact"/>
            </w:pPr>
            <w:r>
              <w:t xml:space="preserve">Access to SageMaker, Bedrock, and other AI/ML services through existing partnership</w:t>
            </w:r>
          </w:p>
        </w:tc>
      </w:tr>
      <w:tr>
        <w:tc>
          <w:tcPr/>
          <w:p>
            <w:pPr>
              <w:pStyle w:val="Compact"/>
            </w:pPr>
            <w:r>
              <w:t xml:space="preserve">Microsoft Azure</w:t>
            </w:r>
          </w:p>
        </w:tc>
        <w:tc>
          <w:tcPr/>
          <w:p>
            <w:pPr>
              <w:pStyle w:val="Compact"/>
            </w:pPr>
            <w:r>
              <w:t xml:space="preserve">Cloud infrastructure</w:t>
            </w:r>
          </w:p>
        </w:tc>
        <w:tc>
          <w:tcPr/>
          <w:p>
            <w:pPr>
              <w:pStyle w:val="Compact"/>
            </w:pPr>
            <w:r>
              <w:t xml:space="preserve">Access to Azure ML, Cognitive Services through existing partnership</w:t>
            </w:r>
          </w:p>
        </w:tc>
      </w:tr>
      <w:tr>
        <w:tc>
          <w:tcPr/>
          <w:p>
            <w:pPr>
              <w:pStyle w:val="Compact"/>
            </w:pPr>
            <w:r>
              <w:t xml:space="preserve">Splunk</w:t>
            </w:r>
          </w:p>
        </w:tc>
        <w:tc>
          <w:tcPr/>
          <w:p>
            <w:pPr>
              <w:pStyle w:val="Compact"/>
            </w:pPr>
            <w:r>
              <w:t xml:space="preserve">Security analytics</w:t>
            </w:r>
          </w:p>
        </w:tc>
        <w:tc>
          <w:tcPr/>
          <w:p>
            <w:pPr>
              <w:pStyle w:val="Compact"/>
            </w:pPr>
            <w:r>
              <w:t xml:space="preserve">Has ML-powered analytics capabilities already licensed</w:t>
            </w:r>
          </w:p>
        </w:tc>
      </w:tr>
      <w:tr>
        <w:tc>
          <w:tcPr/>
          <w:p>
            <w:pPr>
              <w:pStyle w:val="Compact"/>
            </w:pPr>
            <w:r>
              <w:t xml:space="preserve">CrowdStrike</w:t>
            </w:r>
          </w:p>
        </w:tc>
        <w:tc>
          <w:tcPr/>
          <w:p>
            <w:pPr>
              <w:pStyle w:val="Compact"/>
            </w:pPr>
            <w:r>
              <w:t xml:space="preserve">Endpoint security</w:t>
            </w:r>
          </w:p>
        </w:tc>
        <w:tc>
          <w:tcPr/>
          <w:p>
            <w:pPr>
              <w:pStyle w:val="Compact"/>
            </w:pPr>
            <w:r>
              <w:t xml:space="preserve">AI-driven threat detection already embedded in product</w:t>
            </w:r>
          </w:p>
        </w:tc>
      </w:tr>
      <w:tr>
        <w:tc>
          <w:tcPr/>
          <w:p>
            <w:pPr>
              <w:pStyle w:val="Compact"/>
            </w:pPr>
            <w:r>
              <w:t xml:space="preserve">HubSpot</w:t>
            </w:r>
          </w:p>
        </w:tc>
        <w:tc>
          <w:tcPr/>
          <w:p>
            <w:pPr>
              <w:pStyle w:val="Compact"/>
            </w:pPr>
            <w:r>
              <w:t xml:space="preserve">CRM</w:t>
            </w:r>
          </w:p>
        </w:tc>
        <w:tc>
          <w:tcPr/>
          <w:p>
            <w:pPr>
              <w:pStyle w:val="Compact"/>
            </w:pPr>
            <w:r>
              <w:t xml:space="preserve">Has built-in lead scoring and predictive features in higher-tier plans</w:t>
            </w:r>
          </w:p>
        </w:tc>
      </w:tr>
      <w:tr>
        <w:tc>
          <w:tcPr/>
          <w:p>
            <w:pPr>
              <w:pStyle w:val="Compact"/>
            </w:pPr>
            <w:r>
              <w:t xml:space="preserve">SecureHost Solutions</w:t>
            </w:r>
          </w:p>
        </w:tc>
        <w:tc>
          <w:tcPr/>
          <w:p>
            <w:pPr>
              <w:pStyle w:val="Compact"/>
            </w:pPr>
            <w:r>
              <w:t xml:space="preserve">Hosting services</w:t>
            </w:r>
          </w:p>
        </w:tc>
        <w:tc>
          <w:tcPr/>
          <w:p>
            <w:pPr>
              <w:pStyle w:val="Compact"/>
            </w:pPr>
            <w:r>
              <w:t xml:space="preserve">No AI relevance</w:t>
            </w:r>
          </w:p>
        </w:tc>
      </w:tr>
      <w:tr>
        <w:tc>
          <w:tcPr/>
          <w:p>
            <w:pPr>
              <w:pStyle w:val="Compact"/>
            </w:pPr>
            <w:r>
              <w:t xml:space="preserve">Quantum Storage Technologies</w:t>
            </w:r>
          </w:p>
        </w:tc>
        <w:tc>
          <w:tcPr/>
          <w:p>
            <w:pPr>
              <w:pStyle w:val="Compact"/>
            </w:pPr>
            <w:r>
              <w:t xml:space="preserve">Storage</w:t>
            </w:r>
          </w:p>
        </w:tc>
        <w:tc>
          <w:tcPr/>
          <w:p>
            <w:pPr>
              <w:pStyle w:val="Compact"/>
            </w:pPr>
            <w:r>
              <w:t xml:space="preserve">No AI relevance</w:t>
            </w:r>
          </w:p>
        </w:tc>
      </w:tr>
      <w:tr>
        <w:tc>
          <w:tcPr/>
          <w:p>
            <w:pPr>
              <w:pStyle w:val="Compact"/>
            </w:pPr>
            <w:r>
              <w:t xml:space="preserve">GlobalConnect Networks</w:t>
            </w:r>
          </w:p>
        </w:tc>
        <w:tc>
          <w:tcPr/>
          <w:p>
            <w:pPr>
              <w:pStyle w:val="Compact"/>
            </w:pPr>
            <w:r>
              <w:t xml:space="preserve">Network services</w:t>
            </w:r>
          </w:p>
        </w:tc>
        <w:tc>
          <w:tcPr/>
          <w:p>
            <w:pPr>
              <w:pStyle w:val="Compact"/>
            </w:pPr>
            <w:r>
              <w:t xml:space="preserve">No AI relevance</w:t>
            </w:r>
          </w:p>
        </w:tc>
      </w:tr>
      <w:tr>
        <w:tc>
          <w:tcPr/>
          <w:p>
            <w:pPr>
              <w:pStyle w:val="Compact"/>
            </w:pPr>
            <w:r>
              <w:t xml:space="preserve">CyberSafe Security</w:t>
            </w:r>
          </w:p>
        </w:tc>
        <w:tc>
          <w:tcPr/>
          <w:p>
            <w:pPr>
              <w:pStyle w:val="Compact"/>
            </w:pPr>
            <w:r>
              <w:t xml:space="preserve">Security services</w:t>
            </w:r>
          </w:p>
        </w:tc>
        <w:tc>
          <w:tcPr/>
          <w:p>
            <w:pPr>
              <w:pStyle w:val="Compact"/>
            </w:pPr>
            <w:r>
              <w:t xml:space="preserve">Potential security AI advisory</w:t>
            </w:r>
          </w:p>
        </w:tc>
      </w:tr>
      <w:tr>
        <w:tc>
          <w:tcPr/>
          <w:p>
            <w:pPr>
              <w:pStyle w:val="Compact"/>
            </w:pPr>
            <w:r>
              <w:t xml:space="preserve">ComplianceGuard</w:t>
            </w:r>
          </w:p>
        </w:tc>
        <w:tc>
          <w:tcPr/>
          <w:p>
            <w:pPr>
              <w:pStyle w:val="Compact"/>
            </w:pPr>
            <w:r>
              <w:t xml:space="preserve">Compliance tools</w:t>
            </w:r>
          </w:p>
        </w:tc>
        <w:tc>
          <w:tcPr/>
          <w:p>
            <w:pPr>
              <w:pStyle w:val="Compact"/>
            </w:pPr>
            <w:r>
              <w:t xml:space="preserve">Potential AI governance tooling</w:t>
            </w:r>
          </w:p>
        </w:tc>
      </w:tr>
    </w:tbl>
    <w:p>
      <w:pPr>
        <w:pStyle w:val="BodyText"/>
      </w:pPr>
      <w:r>
        <w:rPr>
          <w:b/>
          <w:bCs/>
        </w:rPr>
        <w:t xml:space="preserve">Key observation:</w:t>
      </w:r>
      <w:r>
        <w:t xml:space="preserve"> </w:t>
      </w:r>
      <w:r>
        <w:t xml:space="preserve">Several existing vendor relationships include AI capabilities that Cloudcore is not currently using. AWS and Azure partnerships, in particular, provide access to managed AI/ML platforms without requiring new vendor onboarding or security vetting.</w:t>
      </w:r>
    </w:p>
    <w:p>
      <w:r>
        <w:pict>
          <v:rect style="width:0;height:1.5pt" o:hralign="center" o:hrstd="t" o:hr="t"/>
        </w:pict>
      </w:r>
    </w:p>
    <w:bookmarkEnd w:id="36"/>
    <w:bookmarkStart w:id="40" w:name="previous-change-initiative-outcomes"/>
    <w:p>
      <w:pPr>
        <w:pStyle w:val="Heading2"/>
      </w:pPr>
      <w:r>
        <w:t xml:space="preserve">Previous Change Initiative Outcomes</w:t>
      </w:r>
    </w:p>
    <w:p>
      <w:pPr>
        <w:pStyle w:val="FirstParagraph"/>
      </w:pPr>
      <w:r>
        <w:t xml:space="preserve">Understanding how Cloudcore has handled significant change projects provides context for AI implementation planning.</w:t>
      </w:r>
    </w:p>
    <w:bookmarkStart w:id="37" w:name="X40d42d5c6cd114f0b612e89075a1ff0d0f67b27"/>
    <w:p>
      <w:pPr>
        <w:pStyle w:val="Heading3"/>
      </w:pPr>
      <w:r>
        <w:t xml:space="preserve">Success: ISO 27001 Certification (2022 to 2024)</w:t>
      </w:r>
    </w:p>
    <w:p>
      <w:pPr>
        <w:pStyle w:val="FirstParagraph"/>
      </w:pPr>
      <w:r>
        <w:rPr>
          <w:b/>
          <w:bCs/>
        </w:rPr>
        <w:t xml:space="preserve">Scope:</w:t>
      </w:r>
      <w:r>
        <w:t xml:space="preserve"> </w:t>
      </w:r>
      <w:r>
        <w:t xml:space="preserve">Enterprise-wide information security management system implementation and certification.</w:t>
      </w:r>
    </w:p>
    <w:p>
      <w:pPr>
        <w:pStyle w:val="BodyText"/>
      </w:pPr>
      <w:r>
        <w:rPr>
          <w:b/>
          <w:bCs/>
        </w:rPr>
        <w:t xml:space="preserve">Outcome:</w:t>
      </w:r>
      <w:r>
        <w:t xml:space="preserve"> </w:t>
      </w:r>
      <w:r>
        <w:t xml:space="preserve">Successfully certified, though the project took nearly two years against an initial 12-month target.</w:t>
      </w:r>
    </w:p>
    <w:p>
      <w:pPr>
        <w:pStyle w:val="BodyText"/>
      </w:pPr>
      <w:r>
        <w:rPr>
          <w:b/>
          <w:bCs/>
        </w:rPr>
        <w:t xml:space="preserve">What went well:</w:t>
      </w:r>
    </w:p>
    <w:p>
      <w:pPr>
        <w:pStyle w:val="Compact"/>
        <w:numPr>
          <w:ilvl w:val="0"/>
          <w:numId w:val="1004"/>
        </w:numPr>
      </w:pPr>
      <w:r>
        <w:t xml:space="preserve">Strong executive sponsorship from the CEO and CISO</w:t>
      </w:r>
    </w:p>
    <w:p>
      <w:pPr>
        <w:pStyle w:val="Compact"/>
        <w:numPr>
          <w:ilvl w:val="0"/>
          <w:numId w:val="1004"/>
        </w:numPr>
      </w:pPr>
      <w:r>
        <w:t xml:space="preserve">Clear business driver (enterprise clients requiring certification)</w:t>
      </w:r>
    </w:p>
    <w:p>
      <w:pPr>
        <w:pStyle w:val="Compact"/>
        <w:numPr>
          <w:ilvl w:val="0"/>
          <w:numId w:val="1004"/>
        </w:numPr>
      </w:pPr>
      <w:r>
        <w:t xml:space="preserve">Dedicated project lead (Sophia Martines)</w:t>
      </w:r>
    </w:p>
    <w:p>
      <w:pPr>
        <w:pStyle w:val="Compact"/>
        <w:numPr>
          <w:ilvl w:val="0"/>
          <w:numId w:val="1004"/>
        </w:numPr>
      </w:pPr>
      <w:r>
        <w:t xml:space="preserve">External auditor engagement managed well</w:t>
      </w:r>
    </w:p>
    <w:p>
      <w:pPr>
        <w:pStyle w:val="FirstParagraph"/>
      </w:pPr>
      <w:r>
        <w:rPr>
          <w:b/>
          <w:bCs/>
        </w:rPr>
        <w:t xml:space="preserve">What was difficult:</w:t>
      </w:r>
    </w:p>
    <w:p>
      <w:pPr>
        <w:pStyle w:val="Compact"/>
        <w:numPr>
          <w:ilvl w:val="0"/>
          <w:numId w:val="1005"/>
        </w:numPr>
      </w:pPr>
      <w:r>
        <w:t xml:space="preserve">Scope underestimated; policy development took longer than expected</w:t>
      </w:r>
    </w:p>
    <w:p>
      <w:pPr>
        <w:pStyle w:val="Compact"/>
        <w:numPr>
          <w:ilvl w:val="0"/>
          <w:numId w:val="1005"/>
        </w:numPr>
      </w:pPr>
      <w:r>
        <w:t xml:space="preserve">Staff resistance to new processes (seen as bureaucratic)</w:t>
      </w:r>
    </w:p>
    <w:p>
      <w:pPr>
        <w:pStyle w:val="Compact"/>
        <w:numPr>
          <w:ilvl w:val="0"/>
          <w:numId w:val="1005"/>
        </w:numPr>
      </w:pPr>
      <w:r>
        <w:t xml:space="preserve">Resource contention with operational work</w:t>
      </w:r>
    </w:p>
    <w:p>
      <w:pPr>
        <w:pStyle w:val="Compact"/>
        <w:numPr>
          <w:ilvl w:val="0"/>
          <w:numId w:val="1005"/>
        </w:numPr>
      </w:pPr>
      <w:r>
        <w:t xml:space="preserve">Documentation burden strained a small team</w:t>
      </w:r>
    </w:p>
    <w:p>
      <w:pPr>
        <w:pStyle w:val="FirstParagraph"/>
      </w:pPr>
      <w:r>
        <w:rPr>
          <w:b/>
          <w:bCs/>
        </w:rPr>
        <w:t xml:space="preserve">Lessons for AI:</w:t>
      </w:r>
      <w:r>
        <w:t xml:space="preserve"> </w:t>
      </w:r>
      <w:r>
        <w:t xml:space="preserve">Large-scale change takes longer than planned at Cloudcore. Executive sponsorship is essential. The team can deliver, but timelines should include realistic buffer. Policy and governance development is time-intensive and should not be an afterthought.</w:t>
      </w:r>
    </w:p>
    <w:p>
      <w:r>
        <w:pict>
          <v:rect style="width:0;height:1.5pt" o:hralign="center" o:hrstd="t" o:hr="t"/>
        </w:pict>
      </w:r>
    </w:p>
    <w:bookmarkEnd w:id="37"/>
    <w:bookmarkStart w:id="38" w:name="X1d632d0e179dff1da5992d0ed38a000975b70e5"/>
    <w:p>
      <w:pPr>
        <w:pStyle w:val="Heading3"/>
      </w:pPr>
      <w:r>
        <w:t xml:space="preserve">Partial Success: Identity Provider Migration, Okta to Auth0 (December 2023)</w:t>
      </w:r>
    </w:p>
    <w:p>
      <w:pPr>
        <w:pStyle w:val="FirstParagraph"/>
      </w:pPr>
      <w:r>
        <w:rPr>
          <w:b/>
          <w:bCs/>
        </w:rPr>
        <w:t xml:space="preserve">Scope:</w:t>
      </w:r>
      <w:r>
        <w:t xml:space="preserve"> </w:t>
      </w:r>
      <w:r>
        <w:t xml:space="preserve">Migration of single sign-on and identity management from Okta to Auth0.</w:t>
      </w:r>
    </w:p>
    <w:p>
      <w:pPr>
        <w:pStyle w:val="BodyText"/>
      </w:pPr>
      <w:r>
        <w:rPr>
          <w:b/>
          <w:bCs/>
        </w:rPr>
        <w:t xml:space="preserve">Outcome:</w:t>
      </w:r>
      <w:r>
        <w:t xml:space="preserve"> </w:t>
      </w:r>
      <w:r>
        <w:t xml:space="preserve">Technical migration completed on schedule. However, internal documentation, security policies, and training materials were not updated. As of the most recent policy review, multiple security documents still reference Okta as the primary identity provider.</w:t>
      </w:r>
    </w:p>
    <w:p>
      <w:pPr>
        <w:pStyle w:val="BodyText"/>
      </w:pPr>
      <w:r>
        <w:rPr>
          <w:b/>
          <w:bCs/>
        </w:rPr>
        <w:t xml:space="preserve">What went well:</w:t>
      </w:r>
    </w:p>
    <w:p>
      <w:pPr>
        <w:pStyle w:val="Compact"/>
        <w:numPr>
          <w:ilvl w:val="0"/>
          <w:numId w:val="1006"/>
        </w:numPr>
      </w:pPr>
      <w:r>
        <w:t xml:space="preserve">Technical execution was clean; minimal user disruption</w:t>
      </w:r>
    </w:p>
    <w:p>
      <w:pPr>
        <w:pStyle w:val="Compact"/>
        <w:numPr>
          <w:ilvl w:val="0"/>
          <w:numId w:val="1006"/>
        </w:numPr>
      </w:pPr>
      <w:r>
        <w:t xml:space="preserve">Auth0 integration with existing systems worked smoothly</w:t>
      </w:r>
    </w:p>
    <w:p>
      <w:pPr>
        <w:pStyle w:val="Compact"/>
        <w:numPr>
          <w:ilvl w:val="0"/>
          <w:numId w:val="1006"/>
        </w:numPr>
      </w:pPr>
      <w:r>
        <w:t xml:space="preserve">Project delivered on time and within budget</w:t>
      </w:r>
    </w:p>
    <w:p>
      <w:pPr>
        <w:pStyle w:val="FirstParagraph"/>
      </w:pPr>
      <w:r>
        <w:rPr>
          <w:b/>
          <w:bCs/>
        </w:rPr>
        <w:t xml:space="preserve">What went wrong:</w:t>
      </w:r>
    </w:p>
    <w:p>
      <w:pPr>
        <w:pStyle w:val="Compact"/>
        <w:numPr>
          <w:ilvl w:val="0"/>
          <w:numId w:val="1007"/>
        </w:numPr>
      </w:pPr>
      <w:r>
        <w:t xml:space="preserve">No change management plan for documentation and process updates</w:t>
      </w:r>
    </w:p>
    <w:p>
      <w:pPr>
        <w:pStyle w:val="Compact"/>
        <w:numPr>
          <w:ilvl w:val="0"/>
          <w:numId w:val="1007"/>
        </w:numPr>
      </w:pPr>
      <w:r>
        <w:t xml:space="preserve">Policy documents (POL-SECU-021 and others) still reference Okta months later</w:t>
      </w:r>
    </w:p>
    <w:p>
      <w:pPr>
        <w:pStyle w:val="Compact"/>
        <w:numPr>
          <w:ilvl w:val="0"/>
          <w:numId w:val="1007"/>
        </w:numPr>
      </w:pPr>
      <w:r>
        <w:t xml:space="preserve">Training materials not updated; staff unclear on new procedures</w:t>
      </w:r>
    </w:p>
    <w:p>
      <w:pPr>
        <w:pStyle w:val="Compact"/>
        <w:numPr>
          <w:ilvl w:val="0"/>
          <w:numId w:val="1007"/>
        </w:numPr>
      </w:pPr>
      <w:r>
        <w:t xml:space="preserve">Session timeout and MFA configuration differences between old and new systems created inconsistencies</w:t>
      </w:r>
    </w:p>
    <w:p>
      <w:pPr>
        <w:pStyle w:val="Compact"/>
        <w:numPr>
          <w:ilvl w:val="0"/>
          <w:numId w:val="1007"/>
        </w:numPr>
      </w:pPr>
      <w:r>
        <w:t xml:space="preserve">No post-migration review conducted</w:t>
      </w:r>
    </w:p>
    <w:p>
      <w:pPr>
        <w:pStyle w:val="FirstParagraph"/>
      </w:pPr>
      <w:r>
        <w:rPr>
          <w:b/>
          <w:bCs/>
        </w:rPr>
        <w:t xml:space="preserve">Lessons for AI:</w:t>
      </w:r>
      <w:r>
        <w:t xml:space="preserve"> </w:t>
      </w:r>
      <w:r>
        <w:t xml:space="preserve">Cloudcore can execute technical changes competently but struggles with the organisational side of change: documentation, training, process alignment. Any AI initiative will need explicit change management planning, not just technical delivery.</w:t>
      </w:r>
    </w:p>
    <w:p>
      <w:r>
        <w:pict>
          <v:rect style="width:0;height:1.5pt" o:hralign="center" o:hrstd="t" o:hr="t"/>
        </w:pict>
      </w:r>
    </w:p>
    <w:bookmarkEnd w:id="38"/>
    <w:bookmarkStart w:id="39" w:name="X3c07c70d9976eca4234c872028e91fffd7119ec"/>
    <w:p>
      <w:pPr>
        <w:pStyle w:val="Heading3"/>
      </w:pPr>
      <w:r>
        <w:t xml:space="preserve">Failure: CRM Consolidation Project (2021 to 2022)</w:t>
      </w:r>
    </w:p>
    <w:p>
      <w:pPr>
        <w:pStyle w:val="FirstParagraph"/>
      </w:pPr>
      <w:r>
        <w:rPr>
          <w:b/>
          <w:bCs/>
        </w:rPr>
        <w:t xml:space="preserve">Scope:</w:t>
      </w:r>
      <w:r>
        <w:t xml:space="preserve"> </w:t>
      </w:r>
      <w:r>
        <w:t xml:space="preserve">Migration from a legacy contact management system and scattered spreadsheets to HubSpot as a unified CRM platform.</w:t>
      </w:r>
    </w:p>
    <w:p>
      <w:pPr>
        <w:pStyle w:val="BodyText"/>
      </w:pPr>
      <w:r>
        <w:rPr>
          <w:b/>
          <w:bCs/>
        </w:rPr>
        <w:t xml:space="preserve">Outcome:</w:t>
      </w:r>
      <w:r>
        <w:t xml:space="preserve"> </w:t>
      </w:r>
      <w:r>
        <w:t xml:space="preserve">HubSpot was deployed, but data migration was incomplete and the platform is underutilised. The project ran three months over schedule and 40% over budget.</w:t>
      </w:r>
    </w:p>
    <w:p>
      <w:pPr>
        <w:pStyle w:val="BodyText"/>
      </w:pPr>
      <w:r>
        <w:rPr>
          <w:b/>
          <w:bCs/>
        </w:rPr>
        <w:t xml:space="preserve">What went well:</w:t>
      </w:r>
    </w:p>
    <w:p>
      <w:pPr>
        <w:pStyle w:val="Compact"/>
        <w:numPr>
          <w:ilvl w:val="0"/>
          <w:numId w:val="1008"/>
        </w:numPr>
      </w:pPr>
      <w:r>
        <w:t xml:space="preserve">HubSpot platform selection was sound; the tool meets Cloudcore’s needs</w:t>
      </w:r>
    </w:p>
    <w:p>
      <w:pPr>
        <w:pStyle w:val="Compact"/>
        <w:numPr>
          <w:ilvl w:val="0"/>
          <w:numId w:val="1008"/>
        </w:numPr>
      </w:pPr>
      <w:r>
        <w:t xml:space="preserve">Marketing team adopted it fully for email campaigns and content management</w:t>
      </w:r>
    </w:p>
    <w:p>
      <w:pPr>
        <w:pStyle w:val="Compact"/>
        <w:numPr>
          <w:ilvl w:val="0"/>
          <w:numId w:val="1008"/>
        </w:numPr>
      </w:pPr>
      <w:r>
        <w:t xml:space="preserve">Integration with the website for lead capture works well</w:t>
      </w:r>
    </w:p>
    <w:p>
      <w:pPr>
        <w:pStyle w:val="FirstParagraph"/>
      </w:pPr>
      <w:r>
        <w:rPr>
          <w:b/>
          <w:bCs/>
        </w:rPr>
        <w:t xml:space="preserve">What went wrong:</w:t>
      </w:r>
    </w:p>
    <w:p>
      <w:pPr>
        <w:pStyle w:val="Compact"/>
        <w:numPr>
          <w:ilvl w:val="0"/>
          <w:numId w:val="1009"/>
        </w:numPr>
      </w:pPr>
      <w:r>
        <w:t xml:space="preserve">Historical customer data was migrated with significant quality issues: duplicate records, inconsistent formatting, missing fields</w:t>
      </w:r>
    </w:p>
    <w:p>
      <w:pPr>
        <w:pStyle w:val="Compact"/>
        <w:numPr>
          <w:ilvl w:val="0"/>
          <w:numId w:val="1009"/>
        </w:numPr>
      </w:pPr>
      <w:r>
        <w:t xml:space="preserve">Sales team adoption was low; many continued using spreadsheets for pipeline tracking</w:t>
      </w:r>
    </w:p>
    <w:p>
      <w:pPr>
        <w:pStyle w:val="Compact"/>
        <w:numPr>
          <w:ilvl w:val="0"/>
          <w:numId w:val="1009"/>
        </w:numPr>
      </w:pPr>
      <w:r>
        <w:t xml:space="preserve">No data quality standards were defined before migration</w:t>
      </w:r>
    </w:p>
    <w:p>
      <w:pPr>
        <w:pStyle w:val="Compact"/>
        <w:numPr>
          <w:ilvl w:val="0"/>
          <w:numId w:val="1009"/>
        </w:numPr>
      </w:pPr>
      <w:r>
        <w:t xml:space="preserve">Integration with billing and support systems was out of scope and never implemented</w:t>
      </w:r>
    </w:p>
    <w:p>
      <w:pPr>
        <w:pStyle w:val="Compact"/>
        <w:numPr>
          <w:ilvl w:val="0"/>
          <w:numId w:val="1009"/>
        </w:numPr>
      </w:pPr>
      <w:r>
        <w:t xml:space="preserve">Post-migration cleanup was never resourced, leaving data quality issues unresolved</w:t>
      </w:r>
    </w:p>
    <w:p>
      <w:pPr>
        <w:pStyle w:val="FirstParagraph"/>
      </w:pPr>
      <w:r>
        <w:rPr>
          <w:b/>
          <w:bCs/>
        </w:rPr>
        <w:t xml:space="preserve">Lessons for AI:</w:t>
      </w:r>
      <w:r>
        <w:t xml:space="preserve"> </w:t>
      </w:r>
      <w:r>
        <w:t xml:space="preserve">Data migration and integration projects at Cloudcore have historically underestimated data quality challenges. The CRM project demonstrates that deploying a tool without addressing underlying data problems produces limited value. This pattern is directly relevant to AI readiness, where data quality is the foundation of any useful model.</w:t>
      </w:r>
    </w:p>
    <w:p>
      <w:r>
        <w:pict>
          <v:rect style="width:0;height:1.5pt" o:hralign="center" o:hrstd="t" o:hr="t"/>
        </w:pict>
      </w:r>
    </w:p>
    <w:bookmarkEnd w:id="39"/>
    <w:bookmarkEnd w:id="40"/>
    <w:bookmarkStart w:id="41" w:name="summary-of-key-constraints"/>
    <w:p>
      <w:pPr>
        <w:pStyle w:val="Heading2"/>
      </w:pPr>
      <w:r>
        <w:t xml:space="preserve">Summary of Key Constraints</w:t>
      </w:r>
    </w:p>
    <w:p>
      <w:pPr>
        <w:pStyle w:val="FirstParagraph"/>
      </w:pPr>
      <w:r>
        <w:t xml:space="preserve">For implementation planning, the following constraints are the most significant:</w:t>
      </w:r>
    </w:p>
    <w:p>
      <w:pPr>
        <w:numPr>
          <w:ilvl w:val="0"/>
          <w:numId w:val="1010"/>
        </w:numPr>
      </w:pPr>
      <w:r>
        <w:rPr>
          <w:b/>
          <w:bCs/>
        </w:rPr>
        <w:t xml:space="preserve">Data readiness is the primary bottleneck.</w:t>
      </w:r>
      <w:r>
        <w:t xml:space="preserve"> </w:t>
      </w:r>
      <w:r>
        <w:t xml:space="preserve">Siloed systems, no data warehouse, inconsistent data definitions, and a two-person analytics team mean that any AI initiative requiring cross-system data will face 6 to 12 months of preparation work.</w:t>
      </w:r>
    </w:p>
    <w:p>
      <w:pPr>
        <w:numPr>
          <w:ilvl w:val="0"/>
          <w:numId w:val="1010"/>
        </w:numPr>
      </w:pPr>
      <w:r>
        <w:rPr>
          <w:b/>
          <w:bCs/>
        </w:rPr>
        <w:t xml:space="preserve">The CSMP project consumes most available development capacity.</w:t>
      </w:r>
      <w:r>
        <w:t xml:space="preserve"> </w:t>
      </w:r>
      <w:r>
        <w:t xml:space="preserve">AI work will need to either use different resources (external vendors, cloud-managed services) or accept a delayed timeline.</w:t>
      </w:r>
    </w:p>
    <w:p>
      <w:pPr>
        <w:numPr>
          <w:ilvl w:val="0"/>
          <w:numId w:val="1010"/>
        </w:numPr>
      </w:pPr>
      <w:r>
        <w:rPr>
          <w:b/>
          <w:bCs/>
        </w:rPr>
        <w:t xml:space="preserve">The $250,000 budget is tight.</w:t>
      </w:r>
      <w:r>
        <w:t xml:space="preserve"> </w:t>
      </w:r>
      <w:r>
        <w:t xml:space="preserve">It cannot simultaneously fund a specialist hire and significant platform investment. Trade-offs will be necessary.</w:t>
      </w:r>
    </w:p>
    <w:p>
      <w:pPr>
        <w:numPr>
          <w:ilvl w:val="0"/>
          <w:numId w:val="1010"/>
        </w:numPr>
      </w:pPr>
      <w:r>
        <w:rPr>
          <w:b/>
          <w:bCs/>
        </w:rPr>
        <w:t xml:space="preserve">Change management is a known weakness.</w:t>
      </w:r>
      <w:r>
        <w:t xml:space="preserve"> </w:t>
      </w:r>
      <w:r>
        <w:t xml:space="preserve">Technical execution is generally competent, but documentation, training, and process alignment consistently lag behind.</w:t>
      </w:r>
    </w:p>
    <w:p>
      <w:pPr>
        <w:numPr>
          <w:ilvl w:val="0"/>
          <w:numId w:val="1010"/>
        </w:numPr>
      </w:pPr>
      <w:r>
        <w:rPr>
          <w:b/>
          <w:bCs/>
        </w:rPr>
        <w:t xml:space="preserve">Security governance must be addressed first.</w:t>
      </w:r>
      <w:r>
        <w:t xml:space="preserve"> </w:t>
      </w:r>
      <w:r>
        <w:t xml:space="preserve">The CISO has board-level backing to require governance frameworks before any AI system processes customer data.</w:t>
      </w:r>
    </w:p>
    <w:p>
      <w:r>
        <w:pict>
          <v:rect style="width:0;height:1.5pt" o:hralign="center" o:hrstd="t" o:hr="t"/>
        </w:pict>
      </w:r>
    </w:p>
    <w:bookmarkEnd w:id="41"/>
    <w:bookmarkStart w:id="45" w:name="cross-references"/>
    <w:p>
      <w:pPr>
        <w:pStyle w:val="Heading2"/>
      </w:pPr>
      <w:r>
        <w:t xml:space="preserve">Cross-References</w:t>
      </w:r>
    </w:p>
    <w:p>
      <w:pPr>
        <w:pStyle w:val="FirstParagraph"/>
      </w:pPr>
      <w:r>
        <w:t xml:space="preserve">For additional context, the following resources are available on the Cloudcore Networks website:</w:t>
      </w:r>
    </w:p>
    <w:p>
      <w:pPr>
        <w:pStyle w:val="Compact"/>
        <w:numPr>
          <w:ilvl w:val="0"/>
          <w:numId w:val="1011"/>
        </w:numPr>
      </w:pPr>
      <w:r>
        <w:rPr>
          <w:b/>
          <w:bCs/>
        </w:rPr>
        <w:t xml:space="preserve">System and network documentation:</w:t>
      </w:r>
      <w:r>
        <w:t xml:space="preserve"> </w:t>
      </w:r>
      <w:r>
        <w:t xml:space="preserve">The support section at</w:t>
      </w:r>
      <w:r>
        <w:t xml:space="preserve"> </w:t>
      </w:r>
      <w:hyperlink r:id="rId42">
        <w:r>
          <w:rPr>
            <w:rStyle w:val="Hyperlink"/>
          </w:rPr>
          <w:t xml:space="preserve">cloudcore.eduserver.au/docs/support/</w:t>
        </w:r>
      </w:hyperlink>
      <w:r>
        <w:t xml:space="preserve"> </w:t>
      </w:r>
      <w:r>
        <w:t xml:space="preserve">includes network diagrams, the ERD, and the organisational chart</w:t>
      </w:r>
    </w:p>
    <w:p>
      <w:pPr>
        <w:pStyle w:val="Compact"/>
        <w:numPr>
          <w:ilvl w:val="0"/>
          <w:numId w:val="1011"/>
        </w:numPr>
      </w:pPr>
      <w:r>
        <w:rPr>
          <w:b/>
          <w:bCs/>
        </w:rPr>
        <w:t xml:space="preserve">Security policies:</w:t>
      </w:r>
      <w:r>
        <w:t xml:space="preserve"> </w:t>
      </w:r>
      <w:r>
        <w:t xml:space="preserve">Current security and compliance policies are published at</w:t>
      </w:r>
      <w:r>
        <w:t xml:space="preserve"> </w:t>
      </w:r>
      <w:hyperlink r:id="rId43">
        <w:r>
          <w:rPr>
            <w:rStyle w:val="Hyperlink"/>
          </w:rPr>
          <w:t xml:space="preserve">cloudcore.eduserver.au/docs/policies/</w:t>
        </w:r>
      </w:hyperlink>
      <w:r>
        <w:t xml:space="preserve">, including the access control, change management, and data classification policies referenced in this document</w:t>
      </w:r>
    </w:p>
    <w:p>
      <w:pPr>
        <w:pStyle w:val="Compact"/>
        <w:numPr>
          <w:ilvl w:val="0"/>
          <w:numId w:val="1011"/>
        </w:numPr>
      </w:pPr>
      <w:r>
        <w:rPr>
          <w:b/>
          <w:bCs/>
        </w:rPr>
        <w:t xml:space="preserve">Incident logs:</w:t>
      </w:r>
      <w:r>
        <w:t xml:space="preserve"> </w:t>
      </w:r>
      <w:r>
        <w:t xml:space="preserve">Detailed logs from the September 2024 breach, including VPN, database, firewall, and SIEM entries, are available at</w:t>
      </w:r>
      <w:r>
        <w:t xml:space="preserve"> </w:t>
      </w:r>
      <w:hyperlink r:id="rId44">
        <w:r>
          <w:rPr>
            <w:rStyle w:val="Hyperlink"/>
          </w:rPr>
          <w:t xml:space="preserve">cloudcore.eduserver.au/docs/logs/</w:t>
        </w:r>
      </w:hyperlink>
    </w:p>
    <w:p>
      <w:r>
        <w:pict>
          <v:rect style="width:0;height:1.5pt" o:hralign="center" o:hrstd="t" o:hr="t"/>
        </w:pict>
      </w:r>
    </w:p>
    <w:p>
      <w:pPr>
        <w:pStyle w:val="FirstParagraph"/>
      </w:pPr>
      <w:r>
        <w:rPr>
          <w:i/>
          <w:iCs/>
        </w:rPr>
        <w:t xml:space="preserve">Cloudcore Networks is a fictional company created for educational purposes. Any resemblance to real organisations is coincidental.</w:t>
      </w:r>
    </w:p>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cloudcore.eduserver.au/docs/logs/" TargetMode="External" /><Relationship Type="http://schemas.openxmlformats.org/officeDocument/2006/relationships/hyperlink" Id="rId43" Target="https://cloudcore.eduserver.au/docs/policies/" TargetMode="External" /><Relationship Type="http://schemas.openxmlformats.org/officeDocument/2006/relationships/hyperlink" Id="rId42" Target="https://cloudcore.eduserver.au/docs/support/" TargetMode="External" /></Relationships>
</file>

<file path=word/_rels/footnotes.xml.rels><?xml version="1.0" encoding="UTF-8"?><Relationships xmlns="http://schemas.openxmlformats.org/package/2006/relationships"><Relationship Type="http://schemas.openxmlformats.org/officeDocument/2006/relationships/hyperlink" Id="rId44" Target="https://cloudcore.eduserver.au/docs/logs/" TargetMode="External" /><Relationship Type="http://schemas.openxmlformats.org/officeDocument/2006/relationships/hyperlink" Id="rId43" Target="https://cloudcore.eduserver.au/docs/policies/" TargetMode="External" /><Relationship Type="http://schemas.openxmlformats.org/officeDocument/2006/relationships/hyperlink" Id="rId42" Target="https://cloudcore.eduserver.au/docs/sup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Cloudcore Networks</dc:title>
  <dc:creator/>
  <cp:keywords/>
  <dcterms:created xsi:type="dcterms:W3CDTF">2026-03-07T15:55:43Z</dcterms:created>
  <dcterms:modified xsi:type="dcterms:W3CDTF">2026-03-07T15:55:43Z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subtitle">
    <vt:lpwstr>Technology Landscape and Resource Assessment</vt:lpwstr>
  </property>
  <property fmtid="{D5CDD505-2E9C-101B-9397-08002B2CF9AE}" pid="9" name="toc-title">
    <vt:lpwstr>Table of contents</vt:lpwstr>
  </property>
</Properties>
</file>