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Cloudcore Networks</w:t>
      </w:r>
    </w:p>
    <w:p>
      <w:pPr>
        <w:pStyle w:val="Subtitle"/>
      </w:pPr>
      <w:r>
        <w:t xml:space="preserve">AI Opportunity Evaluation Pack</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purpose-of-this-document"/>
    <w:p>
      <w:pPr>
        <w:pStyle w:val="Heading2"/>
      </w:pPr>
      <w:r>
        <w:t xml:space="preserve">Purpose of This Document</w:t>
      </w:r>
    </w:p>
    <w:p>
      <w:pPr>
        <w:pStyle w:val="FirstParagraph"/>
      </w:pPr>
      <w:r>
        <w:t xml:space="preserve">This evaluation pack brings together stakeholder perspectives, financial context, and preliminary assessments for the six AI opportunities identified by Cloudcore’s executive team. It is intended to support structured analysis of each opportunity against business value and ethical risk.</w:t>
      </w:r>
    </w:p>
    <w:bookmarkEnd w:id="20"/>
    <w:bookmarkStart w:id="31" w:name="executive-stakeholder-positions"/>
    <w:p>
      <w:pPr>
        <w:pStyle w:val="Heading2"/>
      </w:pPr>
      <w:r>
        <w:t xml:space="preserve">Executive Stakeholder Positions</w:t>
      </w:r>
    </w:p>
    <w:p>
      <w:pPr>
        <w:pStyle w:val="FirstParagraph"/>
      </w:pPr>
      <w:r>
        <w:t xml:space="preserve">The following summaries are drawn from internal interviews conducted as part of Cloudcore’s AI readiness assessment. Each executive was asked to identify their preferred AI initiative, their primary concern, and any constraints they see on AI investment.</w:t>
      </w:r>
    </w:p>
    <w:bookmarkStart w:id="22" w:name="marcell-ziemann-chief-executive-officer"/>
    <w:p>
      <w:pPr>
        <w:pStyle w:val="Heading3"/>
      </w:pPr>
      <w:r>
        <w:t xml:space="preserve">Marcell Ziemann, Chief Executive Officer</w:t>
      </w:r>
    </w:p>
    <w:p>
      <w:pPr>
        <w:pStyle w:val="FirstParagraph"/>
      </w:pPr>
      <w:r>
        <w:rPr>
          <w:b/>
          <w:bCs/>
        </w:rPr>
        <w:t xml:space="preserve">Preferred initiative:</w:t>
      </w:r>
      <w:r>
        <w:t xml:space="preserve"> </w:t>
      </w:r>
      <w:r>
        <w:t xml:space="preserve">AI-powered customer support chatbot</w:t>
      </w:r>
    </w:p>
    <w:p>
      <w:pPr>
        <w:pStyle w:val="BodyText"/>
      </w:pPr>
      <w:r>
        <w:t xml:space="preserve">Marcell sees customer experience as Cloudcore’s most urgent strategic priority. The September 2024 data breach damaged client trust and pushed the Net Promoter Score from 45 to 28. He believes a well-executed support chatbot could demonstrate innovation to clients and the board while directly improving satisfaction metrics.</w:t>
      </w:r>
    </w:p>
    <w:p>
      <w:pPr>
        <w:pStyle w:val="BodyText"/>
      </w:pPr>
      <w:r>
        <w:rPr>
          <w:b/>
          <w:bCs/>
        </w:rPr>
        <w:t xml:space="preserve">Key concern:</w:t>
      </w:r>
      <w:r>
        <w:t xml:space="preserve"> </w:t>
      </w:r>
      <w:r>
        <w:t xml:space="preserve">Moving too fast without foundations in place. Marcell frequently cites industry research showing 70 to 85 percent of AI projects fail, and he has told the board he will not commit capital without an evidence-based plan.</w:t>
      </w:r>
    </w:p>
    <w:p>
      <w:pPr>
        <w:pStyle w:val="BodyText"/>
      </w:pPr>
      <w:r>
        <w:rPr>
          <w:b/>
          <w:bCs/>
        </w:rPr>
        <w:t xml:space="preserve">Quotable statement:</w:t>
      </w:r>
      <w:r>
        <w:t xml:space="preserve"> </w:t>
      </w:r>
      <w:r>
        <w:t xml:space="preserve">“I’d rather be six months behind a competitor than six months into a failed AI project. We’ve already shown the market what happens when we cut corners, and I’m not doing that again.”</w:t>
      </w:r>
    </w:p>
    <w:p>
      <w:pPr>
        <w:pStyle w:val="BodyText"/>
      </w:pPr>
      <w:r>
        <w:rPr>
          <w:b/>
          <w:bCs/>
        </w:rPr>
        <w:t xml:space="preserve">Tension point:</w:t>
      </w:r>
      <w:r>
        <w:t xml:space="preserve"> </w:t>
      </w:r>
      <w:r>
        <w:t xml:space="preserve">Marcell wants visible progress to satisfy the board and counter competitor messaging, but Sophia Martines (CISO) insists that governance frameworks must be in place before any AI system touches customer data. This creates a speed-versus-governance friction that any implementation plan will need to address.</w:t>
      </w:r>
    </w:p>
    <w:p>
      <w:pPr>
        <w:pStyle w:val="BodyText"/>
      </w:pPr>
      <w:r>
        <w:t xml:space="preserve">For the full interview, see the</w:t>
      </w:r>
      <w:r>
        <w:t xml:space="preserve"> </w:t>
      </w:r>
      <w:hyperlink r:id="rId21">
        <w:r>
          <w:rPr>
            <w:rStyle w:val="Hyperlink"/>
          </w:rPr>
          <w:t xml:space="preserve">CEO chatbot profile</w:t>
        </w:r>
      </w:hyperlink>
      <w:r>
        <w:t xml:space="preserve">.</w:t>
      </w:r>
    </w:p>
    <w:p>
      <w:r>
        <w:pict>
          <v:rect style="width:0;height:1.5pt" o:hralign="center" o:hrstd="t" o:hr="t"/>
        </w:pict>
      </w:r>
    </w:p>
    <w:bookmarkEnd w:id="22"/>
    <w:bookmarkStart w:id="24" w:name="mark-gonzalez-chief-technology-officer"/>
    <w:p>
      <w:pPr>
        <w:pStyle w:val="Heading3"/>
      </w:pPr>
      <w:r>
        <w:t xml:space="preserve">Mark Gonzalez, Chief Technology Officer</w:t>
      </w:r>
    </w:p>
    <w:p>
      <w:pPr>
        <w:pStyle w:val="FirstParagraph"/>
      </w:pPr>
      <w:r>
        <w:rPr>
          <w:b/>
          <w:bCs/>
        </w:rPr>
        <w:t xml:space="preserve">Preferred initiative:</w:t>
      </w:r>
      <w:r>
        <w:t xml:space="preserve"> </w:t>
      </w:r>
      <w:r>
        <w:t xml:space="preserve">Predictive maintenance for infrastructure</w:t>
      </w:r>
    </w:p>
    <w:p>
      <w:pPr>
        <w:pStyle w:val="BodyText"/>
      </w:pPr>
      <w:r>
        <w:t xml:space="preserve">Mark believes predictive maintenance offers the best ratio of technical feasibility to business impact. Cloudcore already collects infrastructure telemetry through Prometheus and Grafana, meaning the data pipeline is partially in place. He sees this as a</w:t>
      </w:r>
      <w:r>
        <w:t xml:space="preserve"> </w:t>
      </w:r>
      <w:r>
        <w:t xml:space="preserve">“crawl before you run”</w:t>
      </w:r>
      <w:r>
        <w:t xml:space="preserve"> </w:t>
      </w:r>
      <w:r>
        <w:t xml:space="preserve">opportunity that builds internal AI capability without exposing customer data.</w:t>
      </w:r>
    </w:p>
    <w:p>
      <w:pPr>
        <w:pStyle w:val="BodyText"/>
      </w:pPr>
      <w:r>
        <w:rPr>
          <w:b/>
          <w:bCs/>
        </w:rPr>
        <w:t xml:space="preserve">Key concern:</w:t>
      </w:r>
      <w:r>
        <w:t xml:space="preserve"> </w:t>
      </w:r>
      <w:r>
        <w:t xml:space="preserve">Cloudcore’s AI readiness is uneven. Mark rates the company’s infrastructure at 3 to 4 out of 5, but data readiness at 2 out of 5, talent at 1 out of 5, and governance at 1 out of 5. He estimates 6 to 12 months of data engineering work before any ML model could be trained on production data.</w:t>
      </w:r>
    </w:p>
    <w:p>
      <w:pPr>
        <w:pStyle w:val="BodyText"/>
      </w:pPr>
      <w:r>
        <w:rPr>
          <w:b/>
          <w:bCs/>
        </w:rPr>
        <w:t xml:space="preserve">Quotable statement:</w:t>
      </w:r>
      <w:r>
        <w:t xml:space="preserve"> </w:t>
      </w:r>
      <w:r>
        <w:t xml:space="preserve">“We have zero data scientists, no ML pipeline, and our data sits in silos that don’t talk to each other. I’d rather do one AI thing well than five things poorly. Start with predictive maintenance, prove we can execute, then expand.”</w:t>
      </w:r>
    </w:p>
    <w:p>
      <w:pPr>
        <w:pStyle w:val="BodyText"/>
      </w:pPr>
      <w:r>
        <w:rPr>
          <w:b/>
          <w:bCs/>
        </w:rPr>
        <w:t xml:space="preserve">Tension point:</w:t>
      </w:r>
      <w:r>
        <w:t xml:space="preserve"> </w:t>
      </w:r>
      <w:r>
        <w:t xml:space="preserve">Mark wants to build capability in-house and start with internal operational use cases. Aisha Rahman (CFO) questions whether the company can afford the 6 to 12 month runway and $180,000 to $250,000 salary cost of hiring even one ML engineer when a vendor solution might deliver faster results.</w:t>
      </w:r>
    </w:p>
    <w:p>
      <w:pPr>
        <w:pStyle w:val="BodyText"/>
      </w:pPr>
      <w:r>
        <w:t xml:space="preserve">For the full interview, see the</w:t>
      </w:r>
      <w:r>
        <w:t xml:space="preserve"> </w:t>
      </w:r>
      <w:hyperlink r:id="rId23">
        <w:r>
          <w:rPr>
            <w:rStyle w:val="Hyperlink"/>
          </w:rPr>
          <w:t xml:space="preserve">CTO chatbot profile</w:t>
        </w:r>
      </w:hyperlink>
      <w:r>
        <w:t xml:space="preserve">.</w:t>
      </w:r>
    </w:p>
    <w:p>
      <w:r>
        <w:pict>
          <v:rect style="width:0;height:1.5pt" o:hralign="center" o:hrstd="t" o:hr="t"/>
        </w:pict>
      </w:r>
    </w:p>
    <w:bookmarkEnd w:id="24"/>
    <w:bookmarkStart w:id="26" w:name="sarah-thompson-chief-operating-officer"/>
    <w:p>
      <w:pPr>
        <w:pStyle w:val="Heading3"/>
      </w:pPr>
      <w:r>
        <w:t xml:space="preserve">Sarah Thompson, Chief Operating Officer</w:t>
      </w:r>
    </w:p>
    <w:p>
      <w:pPr>
        <w:pStyle w:val="FirstParagraph"/>
      </w:pPr>
      <w:r>
        <w:rPr>
          <w:b/>
          <w:bCs/>
        </w:rPr>
        <w:t xml:space="preserve">Preferred initiative:</w:t>
      </w:r>
      <w:r>
        <w:t xml:space="preserve"> </w:t>
      </w:r>
      <w:r>
        <w:t xml:space="preserve">Customer churn prediction</w:t>
      </w:r>
    </w:p>
    <w:p>
      <w:pPr>
        <w:pStyle w:val="BodyText"/>
      </w:pPr>
      <w:r>
        <w:t xml:space="preserve">Sarah’s operational data tells a clear story: churn rose to 8 percent annually following the breach, customer satisfaction sits at 82 percent against an 85 percent target, and first-call resolution is stuck at 68 percent. She believes churn prediction would let her team intervene with at-risk accounts before they leave, directly protecting recurring revenue.</w:t>
      </w:r>
    </w:p>
    <w:p>
      <w:pPr>
        <w:pStyle w:val="BodyText"/>
      </w:pPr>
      <w:r>
        <w:rPr>
          <w:b/>
          <w:bCs/>
        </w:rPr>
        <w:t xml:space="preserve">Key concern:</w:t>
      </w:r>
      <w:r>
        <w:t xml:space="preserve"> </w:t>
      </w:r>
      <w:r>
        <w:t xml:space="preserve">Staff impact. The customer support team of 8 people is already stretched, and Sarah reports that team members are anxious about AI replacing their roles. She wants any AI initiative to augment her team rather than reduce headcount, and insists on gradual rollout with human oversight.</w:t>
      </w:r>
    </w:p>
    <w:p>
      <w:pPr>
        <w:pStyle w:val="BodyText"/>
      </w:pPr>
      <w:r>
        <w:rPr>
          <w:b/>
          <w:bCs/>
        </w:rPr>
        <w:t xml:space="preserve">Quotable statement:</w:t>
      </w:r>
      <w:r>
        <w:t xml:space="preserve"> </w:t>
      </w:r>
      <w:r>
        <w:t xml:space="preserve">“Every customer we lose costs us more than the one we gain. If AI can tell me which accounts are slipping before they call to cancel, that’s worth more than any chatbot. But I won’t sacrifice my team’s trust to get there.”</w:t>
      </w:r>
    </w:p>
    <w:p>
      <w:pPr>
        <w:pStyle w:val="BodyText"/>
      </w:pPr>
      <w:r>
        <w:rPr>
          <w:b/>
          <w:bCs/>
        </w:rPr>
        <w:t xml:space="preserve">Tension point:</w:t>
      </w:r>
      <w:r>
        <w:t xml:space="preserve"> </w:t>
      </w:r>
      <w:r>
        <w:t xml:space="preserve">Marcell and Mark see efficiency gains from automation; Sarah prioritises staff retention and customer relationship quality. She supports AI in principle but will push back on any initiative that threatens her team’s morale or introduces impersonal customer interactions.</w:t>
      </w:r>
    </w:p>
    <w:p>
      <w:pPr>
        <w:pStyle w:val="BodyText"/>
      </w:pPr>
      <w:r>
        <w:t xml:space="preserve">For the full interview, see the</w:t>
      </w:r>
      <w:r>
        <w:t xml:space="preserve"> </w:t>
      </w:r>
      <w:hyperlink r:id="rId25">
        <w:r>
          <w:rPr>
            <w:rStyle w:val="Hyperlink"/>
          </w:rPr>
          <w:t xml:space="preserve">COO chatbot profile</w:t>
        </w:r>
      </w:hyperlink>
      <w:r>
        <w:t xml:space="preserve">.</w:t>
      </w:r>
    </w:p>
    <w:p>
      <w:r>
        <w:pict>
          <v:rect style="width:0;height:1.5pt" o:hralign="center" o:hrstd="t" o:hr="t"/>
        </w:pict>
      </w:r>
    </w:p>
    <w:bookmarkEnd w:id="26"/>
    <w:bookmarkStart w:id="27" w:name="aisha-rahman-chief-financial-officer"/>
    <w:p>
      <w:pPr>
        <w:pStyle w:val="Heading3"/>
      </w:pPr>
      <w:r>
        <w:t xml:space="preserve">Aisha Rahman, Chief Financial Officer</w:t>
      </w:r>
    </w:p>
    <w:p>
      <w:pPr>
        <w:pStyle w:val="FirstParagraph"/>
      </w:pPr>
      <w:r>
        <w:rPr>
          <w:b/>
          <w:bCs/>
        </w:rPr>
        <w:t xml:space="preserve">Preferred initiative:</w:t>
      </w:r>
      <w:r>
        <w:t xml:space="preserve"> </w:t>
      </w:r>
      <w:r>
        <w:t xml:space="preserve">Sales lead scoring and prioritisation</w:t>
      </w:r>
    </w:p>
    <w:p>
      <w:pPr>
        <w:pStyle w:val="BodyText"/>
      </w:pPr>
      <w:r>
        <w:t xml:space="preserve">Aisha is drawn to the initiative with the lowest complexity and the clearest revenue link. Lead scoring could reduce the $2,400 customer acquisition cost, improve conversion rates, and help the sales team focus on prospects most likely to close. She sees this as a low-risk, measurable entry point.</w:t>
      </w:r>
    </w:p>
    <w:p>
      <w:pPr>
        <w:pStyle w:val="BodyText"/>
      </w:pPr>
      <w:r>
        <w:rPr>
          <w:b/>
          <w:bCs/>
        </w:rPr>
        <w:t xml:space="preserve">Key concern:</w:t>
      </w:r>
      <w:r>
        <w:t xml:space="preserve"> </w:t>
      </w:r>
      <w:r>
        <w:t xml:space="preserve">Budget discipline. Cloudcore’s operating margin is approximately 15 percent, the board expects a path to profitability within two years, and the breach cost the company roughly $3.5 million in its first year. There is no dedicated AI budget, and Aisha will not approve spending without a business case that includes realistic cost estimates, timeline to value, and a risk assessment.</w:t>
      </w:r>
    </w:p>
    <w:p>
      <w:pPr>
        <w:pStyle w:val="BodyText"/>
      </w:pPr>
      <w:r>
        <w:rPr>
          <w:b/>
          <w:bCs/>
        </w:rPr>
        <w:t xml:space="preserve">Quotable statement:</w:t>
      </w:r>
      <w:r>
        <w:t xml:space="preserve"> </w:t>
      </w:r>
      <w:r>
        <w:t xml:space="preserve">“</w:t>
      </w:r>
      <w:r>
        <w:t xml:space="preserve">‘Competitors are doing AI’</w:t>
      </w:r>
      <w:r>
        <w:t xml:space="preserve"> </w:t>
      </w:r>
      <w:r>
        <w:t xml:space="preserve">is not an ROI calculation. Show me what it costs, what we gain, and when we break even. I’m not anti-innovation; I’m anti-waste.”</w:t>
      </w:r>
    </w:p>
    <w:p>
      <w:pPr>
        <w:pStyle w:val="BodyText"/>
      </w:pPr>
      <w:r>
        <w:rPr>
          <w:b/>
          <w:bCs/>
        </w:rPr>
        <w:t xml:space="preserve">Tension point:</w:t>
      </w:r>
      <w:r>
        <w:t xml:space="preserve"> </w:t>
      </w:r>
      <w:r>
        <w:t xml:space="preserve">Mark wants to build in-house AI capability, which requires hiring expensive talent and accepting a 6 to 12 month lead time before results. Aisha favours buying vendor solutions that deliver faster ROI, even if they offer less long-term strategic value.</w:t>
      </w:r>
    </w:p>
    <w:p>
      <w:r>
        <w:pict>
          <v:rect style="width:0;height:1.5pt" o:hralign="center" o:hrstd="t" o:hr="t"/>
        </w:pict>
      </w:r>
    </w:p>
    <w:bookmarkEnd w:id="27"/>
    <w:bookmarkStart w:id="30" w:name="X03c94cbe07c0974e121f8025e1121e4f9e45eef"/>
    <w:p>
      <w:pPr>
        <w:pStyle w:val="Heading3"/>
      </w:pPr>
      <w:r>
        <w:t xml:space="preserve">Sophia Martines, Chief Information Security Officer</w:t>
      </w:r>
    </w:p>
    <w:p>
      <w:pPr>
        <w:pStyle w:val="FirstParagraph"/>
      </w:pPr>
      <w:r>
        <w:rPr>
          <w:b/>
          <w:bCs/>
        </w:rPr>
        <w:t xml:space="preserve">Preferred initiative:</w:t>
      </w:r>
      <w:r>
        <w:t xml:space="preserve"> </w:t>
      </w:r>
      <w:r>
        <w:t xml:space="preserve">Automated security threat detection</w:t>
      </w:r>
    </w:p>
    <w:p>
      <w:pPr>
        <w:pStyle w:val="BodyText"/>
      </w:pPr>
      <w:r>
        <w:t xml:space="preserve">Sophia’s team of 8 is stretched thin, managing over 40 vendor integrations and monitoring 500 to 800 daily security alerts. AI-driven threat detection could help identify anomalies faster and reduce the manual triage burden. She notes that the September 2024 breach was detected through automated monitoring, but response was delayed partly due to alert fatigue.</w:t>
      </w:r>
    </w:p>
    <w:p>
      <w:pPr>
        <w:pStyle w:val="BodyText"/>
      </w:pPr>
      <w:r>
        <w:rPr>
          <w:b/>
          <w:bCs/>
        </w:rPr>
        <w:t xml:space="preserve">Key concern:</w:t>
      </w:r>
      <w:r>
        <w:t xml:space="preserve"> </w:t>
      </w:r>
      <w:r>
        <w:t xml:space="preserve">Governance must come before deployment. Cloudcore has no AI governance framework, no AI-specific security review process, and no policy for AI ethics, bias, or transparency. Sophia will not endorse any AI initiative that processes customer data until these frameworks exist.</w:t>
      </w:r>
    </w:p>
    <w:p>
      <w:pPr>
        <w:pStyle w:val="BodyText"/>
      </w:pPr>
      <w:r>
        <w:rPr>
          <w:b/>
          <w:bCs/>
        </w:rPr>
        <w:t xml:space="preserve">Quotable statement:</w:t>
      </w:r>
      <w:r>
        <w:t xml:space="preserve"> </w:t>
      </w:r>
      <w:r>
        <w:t xml:space="preserve">“We just spent $3.5 million learning what happens when you move faster than your controls allow. I’m not going through that again with AI. Build the governance framework first, then we can talk about what to deploy.”</w:t>
      </w:r>
    </w:p>
    <w:p>
      <w:pPr>
        <w:pStyle w:val="BodyText"/>
      </w:pPr>
      <w:r>
        <w:rPr>
          <w:b/>
          <w:bCs/>
        </w:rPr>
        <w:t xml:space="preserve">Tension point:</w:t>
      </w:r>
      <w:r>
        <w:t xml:space="preserve"> </w:t>
      </w:r>
      <w:r>
        <w:t xml:space="preserve">Marcell wants visible AI progress to satisfy the board; Sophia insists on governance-first. This is the sharpest disagreement on the executive team and will need to be resolved in any implementation roadmap.</w:t>
      </w:r>
    </w:p>
    <w:p>
      <w:pPr>
        <w:pStyle w:val="BodyText"/>
      </w:pPr>
      <w:r>
        <w:t xml:space="preserve">For the full interview, see the</w:t>
      </w:r>
      <w:r>
        <w:t xml:space="preserve"> </w:t>
      </w:r>
      <w:hyperlink r:id="rId28">
        <w:r>
          <w:rPr>
            <w:rStyle w:val="Hyperlink"/>
          </w:rPr>
          <w:t xml:space="preserve">CISO chatbot profile</w:t>
        </w:r>
      </w:hyperlink>
      <w:r>
        <w:t xml:space="preserve"> </w:t>
      </w:r>
      <w:r>
        <w:t xml:space="preserve">and the</w:t>
      </w:r>
      <w:r>
        <w:t xml:space="preserve"> </w:t>
      </w:r>
      <w:hyperlink r:id="rId29">
        <w:r>
          <w:rPr>
            <w:rStyle w:val="Hyperlink"/>
          </w:rPr>
          <w:t xml:space="preserve">security policies</w:t>
        </w:r>
      </w:hyperlink>
      <w:r>
        <w:t xml:space="preserve"> </w:t>
      </w:r>
      <w:r>
        <w:t xml:space="preserve">on the Cloudcore website.</w:t>
      </w:r>
    </w:p>
    <w:p>
      <w:r>
        <w:pict>
          <v:rect style="width:0;height:1.5pt" o:hralign="center" o:hrstd="t" o:hr="t"/>
        </w:pict>
      </w:r>
    </w:p>
    <w:bookmarkEnd w:id="30"/>
    <w:bookmarkEnd w:id="31"/>
    <w:bookmarkStart w:id="37" w:name="financial-context"/>
    <w:p>
      <w:pPr>
        <w:pStyle w:val="Heading2"/>
      </w:pPr>
      <w:r>
        <w:t xml:space="preserve">Financial Context</w:t>
      </w:r>
    </w:p>
    <w:p>
      <w:pPr>
        <w:pStyle w:val="FirstParagraph"/>
      </w:pPr>
      <w:r>
        <w:t xml:space="preserve">The following figures are drawn from Cloudcore’s internal financial reporting and are current as of Q4 2024.</w:t>
      </w:r>
    </w:p>
    <w:bookmarkStart w:id="32" w:name="company-financials"/>
    <w:p>
      <w:pPr>
        <w:pStyle w:val="Heading3"/>
      </w:pPr>
      <w:r>
        <w:t xml:space="preserve">Company Financials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Annual revenue</w:t>
            </w:r>
          </w:p>
        </w:tc>
        <w:tc>
          <w:tcPr/>
          <w:p>
            <w:pPr>
              <w:pStyle w:val="Compact"/>
            </w:pPr>
            <w:r>
              <w:t xml:space="preserve">~$45 million AUD</w:t>
            </w:r>
          </w:p>
        </w:tc>
      </w:tr>
      <w:tr>
        <w:tc>
          <w:tcPr/>
          <w:p>
            <w:pPr>
              <w:pStyle w:val="Compact"/>
            </w:pPr>
            <w:r>
              <w:t xml:space="preserve">Year-over-year growth</w:t>
            </w:r>
          </w:p>
        </w:tc>
        <w:tc>
          <w:tcPr/>
          <w:p>
            <w:pPr>
              <w:pStyle w:val="Compact"/>
            </w:pPr>
            <w:r>
              <w:t xml:space="preserve">~25%</w:t>
            </w:r>
          </w:p>
        </w:tc>
      </w:tr>
      <w:tr>
        <w:tc>
          <w:tcPr/>
          <w:p>
            <w:pPr>
              <w:pStyle w:val="Compact"/>
            </w:pPr>
            <w:r>
              <w:t xml:space="preserve">Operating margin</w:t>
            </w:r>
          </w:p>
        </w:tc>
        <w:tc>
          <w:tcPr/>
          <w:p>
            <w:pPr>
              <w:pStyle w:val="Compact"/>
            </w:pPr>
            <w:r>
              <w:t xml:space="preserve">~15%</w:t>
            </w:r>
          </w:p>
        </w:tc>
      </w:tr>
      <w:tr>
        <w:tc>
          <w:tcPr/>
          <w:p>
            <w:pPr>
              <w:pStyle w:val="Compact"/>
            </w:pPr>
            <w:r>
              <w:t xml:space="preserve">Series A + B funding raised</w:t>
            </w:r>
          </w:p>
        </w:tc>
        <w:tc>
          <w:tcPr/>
          <w:p>
            <w:pPr>
              <w:pStyle w:val="Compact"/>
            </w:pPr>
            <w:r>
              <w:t xml:space="preserve">~$20 million AUD</w:t>
            </w:r>
          </w:p>
        </w:tc>
      </w:tr>
      <w:tr>
        <w:tc>
          <w:tcPr/>
          <w:p>
            <w:pPr>
              <w:pStyle w:val="Compact"/>
            </w:pPr>
            <w:r>
              <w:t xml:space="preserve">Total breach cost (first year)</w:t>
            </w:r>
          </w:p>
        </w:tc>
        <w:tc>
          <w:tcPr/>
          <w:p>
            <w:pPr>
              <w:pStyle w:val="Compact"/>
            </w:pPr>
            <w:r>
              <w:t xml:space="preserve">~$3.5 million AUD</w:t>
            </w:r>
          </w:p>
        </w:tc>
      </w:tr>
      <w:tr>
        <w:tc>
          <w:tcPr/>
          <w:p>
            <w:pPr>
              <w:pStyle w:val="Compact"/>
            </w:pPr>
            <w:r>
              <w:t xml:space="preserve">Board profitability target</w:t>
            </w:r>
          </w:p>
        </w:tc>
        <w:tc>
          <w:tcPr/>
          <w:p>
            <w:pPr>
              <w:pStyle w:val="Compact"/>
            </w:pPr>
            <w:r>
              <w:t xml:space="preserve">Within 2 years</w:t>
            </w:r>
          </w:p>
        </w:tc>
      </w:tr>
    </w:tbl>
    <w:bookmarkEnd w:id="32"/>
    <w:bookmarkStart w:id="33" w:name="revenue-by-client-sector"/>
    <w:p>
      <w:pPr>
        <w:pStyle w:val="Heading3"/>
      </w:pPr>
      <w:r>
        <w:t xml:space="preserve">Revenue by Client Sector</w:t>
      </w:r>
    </w:p>
    <w:tbl>
      <w:tblPr>
        <w:tblStyle w:val="Table"/>
        <w:tblW w:type="pct" w:w="5000"/>
        <w:tblLayout w:type="fixed"/>
        <w:tblLook w:firstRow="1" w:lastRow="0" w:firstColumn="0" w:lastColumn="0" w:noHBand="0" w:noVBand="0" w:val="0020"/>
      </w:tblPr>
      <w:tblGrid>
        <w:gridCol w:w="2043"/>
        <w:gridCol w:w="4087"/>
        <w:gridCol w:w="1788"/>
      </w:tblGrid>
      <w:tr>
        <w:trPr>
          <w:tblHeader w:val="on"/>
        </w:trPr>
        <w:tc>
          <w:tcPr/>
          <w:p>
            <w:pPr>
              <w:pStyle w:val="Compact"/>
            </w:pPr>
            <w:r>
              <w:t xml:space="preserve">Sector</w:t>
            </w:r>
          </w:p>
        </w:tc>
        <w:tc>
          <w:tcPr/>
          <w:p>
            <w:pPr>
              <w:pStyle w:val="Compact"/>
            </w:pPr>
            <w:r>
              <w:t xml:space="preserve">Estimated Share</w:t>
            </w:r>
          </w:p>
        </w:tc>
        <w:tc>
          <w:tcPr/>
          <w:p>
            <w:pPr>
              <w:pStyle w:val="Compact"/>
            </w:pPr>
            <w:r>
              <w:t xml:space="preserve">Notes</w:t>
            </w:r>
          </w:p>
        </w:tc>
      </w:tr>
      <w:tr>
        <w:tc>
          <w:tcPr/>
          <w:p>
            <w:pPr>
              <w:pStyle w:val="Compact"/>
            </w:pPr>
            <w:r>
              <w:t xml:space="preserve">Professional Services</w:t>
            </w:r>
          </w:p>
        </w:tc>
        <w:tc>
          <w:tcPr/>
          <w:p>
            <w:pPr>
              <w:pStyle w:val="Compact"/>
            </w:pPr>
            <w:r>
              <w:t xml:space="preserve">30%</w:t>
            </w:r>
          </w:p>
        </w:tc>
        <w:tc>
          <w:tcPr/>
          <w:p>
            <w:pPr>
              <w:pStyle w:val="Compact"/>
            </w:pPr>
            <w:r>
              <w:t xml:space="preserve">Largest segment; primarily SMEs</w:t>
            </w:r>
          </w:p>
        </w:tc>
      </w:tr>
      <w:tr>
        <w:tc>
          <w:tcPr/>
          <w:p>
            <w:pPr>
              <w:pStyle w:val="Compact"/>
            </w:pPr>
            <w:r>
              <w:t xml:space="preserve">Healthcare</w:t>
            </w:r>
          </w:p>
        </w:tc>
        <w:tc>
          <w:tcPr/>
          <w:p>
            <w:pPr>
              <w:pStyle w:val="Compact"/>
            </w:pPr>
            <w:r>
              <w:t xml:space="preserve">25%</w:t>
            </w:r>
          </w:p>
        </w:tc>
        <w:tc>
          <w:tcPr/>
          <w:p>
            <w:pPr>
              <w:pStyle w:val="Compact"/>
            </w:pPr>
            <w:r>
              <w:t xml:space="preserve">High compliance requirements (HIPAA in progress)</w:t>
            </w:r>
          </w:p>
        </w:tc>
      </w:tr>
      <w:tr>
        <w:tc>
          <w:tcPr/>
          <w:p>
            <w:pPr>
              <w:pStyle w:val="Compact"/>
            </w:pPr>
            <w:r>
              <w:t xml:space="preserve">Finance</w:t>
            </w:r>
          </w:p>
        </w:tc>
        <w:tc>
          <w:tcPr/>
          <w:p>
            <w:pPr>
              <w:pStyle w:val="Compact"/>
            </w:pPr>
            <w:r>
              <w:t xml:space="preserve">20%</w:t>
            </w:r>
          </w:p>
        </w:tc>
        <w:tc>
          <w:tcPr/>
          <w:p>
            <w:pPr>
              <w:pStyle w:val="Compact"/>
            </w:pPr>
            <w:r>
              <w:t xml:space="preserve">Strict regulatory environment; GDPR and Privacy Act obligations</w:t>
            </w:r>
          </w:p>
        </w:tc>
      </w:tr>
      <w:tr>
        <w:tc>
          <w:tcPr/>
          <w:p>
            <w:pPr>
              <w:pStyle w:val="Compact"/>
            </w:pPr>
            <w:r>
              <w:t xml:space="preserve">Education</w:t>
            </w:r>
          </w:p>
        </w:tc>
        <w:tc>
          <w:tcPr/>
          <w:p>
            <w:pPr>
              <w:pStyle w:val="Compact"/>
            </w:pPr>
            <w:r>
              <w:t xml:space="preserve">15%</w:t>
            </w:r>
          </w:p>
        </w:tc>
        <w:tc>
          <w:tcPr/>
          <w:p>
            <w:pPr>
              <w:pStyle w:val="Compact"/>
            </w:pPr>
            <w:r>
              <w:t xml:space="preserve">Growing segment; price-sensitive</w:t>
            </w:r>
          </w:p>
        </w:tc>
      </w:tr>
      <w:tr>
        <w:tc>
          <w:tcPr/>
          <w:p>
            <w:pPr>
              <w:pStyle w:val="Compact"/>
            </w:pPr>
            <w:r>
              <w:t xml:space="preserve">Other (retail, manufacturing, government)</w:t>
            </w:r>
          </w:p>
        </w:tc>
        <w:tc>
          <w:tcPr/>
          <w:p>
            <w:pPr>
              <w:pStyle w:val="Compact"/>
            </w:pPr>
            <w:r>
              <w:t xml:space="preserve">10%</w:t>
            </w:r>
          </w:p>
        </w:tc>
        <w:tc>
          <w:tcPr/>
          <w:p>
            <w:pPr>
              <w:pStyle w:val="Compact"/>
            </w:pPr>
            <w:r>
              <w:t xml:space="preserve">Mixed requirements</w:t>
            </w:r>
          </w:p>
        </w:tc>
      </w:tr>
    </w:tbl>
    <w:bookmarkEnd w:id="33"/>
    <w:bookmarkStart w:id="34" w:name="operating-budget-allocation"/>
    <w:p>
      <w:pPr>
        <w:pStyle w:val="Heading3"/>
      </w:pPr>
      <w:r>
        <w:t xml:space="preserve">Operating Budget Allocation</w:t>
      </w:r>
    </w:p>
    <w:tbl>
      <w:tblPr>
        <w:tblStyle w:val="Table"/>
        <w:tblW w:type="pct" w:w="5000"/>
        <w:tblLayout w:type="fixed"/>
        <w:tblLook w:firstRow="1" w:lastRow="0" w:firstColumn="0" w:lastColumn="0" w:noHBand="0" w:noVBand="0" w:val="0020"/>
      </w:tblPr>
      <w:tblGrid>
        <w:gridCol w:w="2200"/>
        <w:gridCol w:w="5720"/>
      </w:tblGrid>
      <w:tr>
        <w:trPr>
          <w:tblHeader w:val="on"/>
        </w:trPr>
        <w:tc>
          <w:tcPr/>
          <w:p>
            <w:pPr>
              <w:pStyle w:val="Compact"/>
            </w:pPr>
            <w:r>
              <w:t xml:space="preserve">Category</w:t>
            </w:r>
          </w:p>
        </w:tc>
        <w:tc>
          <w:tcPr/>
          <w:p>
            <w:pPr>
              <w:pStyle w:val="Compact"/>
            </w:pPr>
            <w:r>
              <w:t xml:space="preserve">Share of Operating Budget</w:t>
            </w:r>
          </w:p>
        </w:tc>
      </w:tr>
      <w:tr>
        <w:tc>
          <w:tcPr/>
          <w:p>
            <w:pPr>
              <w:pStyle w:val="Compact"/>
            </w:pPr>
            <w:r>
              <w:t xml:space="preserve">IT and Technology</w:t>
            </w:r>
          </w:p>
        </w:tc>
        <w:tc>
          <w:tcPr/>
          <w:p>
            <w:pPr>
              <w:pStyle w:val="Compact"/>
            </w:pPr>
            <w:r>
              <w:t xml:space="preserve">~40%</w:t>
            </w:r>
          </w:p>
        </w:tc>
      </w:tr>
      <w:tr>
        <w:tc>
          <w:tcPr/>
          <w:p>
            <w:pPr>
              <w:pStyle w:val="Compact"/>
            </w:pPr>
            <w:r>
              <w:t xml:space="preserve">Sales and Marketing</w:t>
            </w:r>
          </w:p>
        </w:tc>
        <w:tc>
          <w:tcPr/>
          <w:p>
            <w:pPr>
              <w:pStyle w:val="Compact"/>
            </w:pPr>
            <w:r>
              <w:t xml:space="preserve">~25%</w:t>
            </w:r>
          </w:p>
        </w:tc>
      </w:tr>
      <w:tr>
        <w:tc>
          <w:tcPr/>
          <w:p>
            <w:pPr>
              <w:pStyle w:val="Compact"/>
            </w:pPr>
            <w:r>
              <w:t xml:space="preserve">Security (as share of IT spend)</w:t>
            </w:r>
          </w:p>
        </w:tc>
        <w:tc>
          <w:tcPr/>
          <w:p>
            <w:pPr>
              <w:pStyle w:val="Compact"/>
            </w:pPr>
            <w:r>
              <w:t xml:space="preserve">~12% (increased from 8% post-breach)</w:t>
            </w:r>
          </w:p>
        </w:tc>
      </w:tr>
      <w:tr>
        <w:tc>
          <w:tcPr/>
          <w:p>
            <w:pPr>
              <w:pStyle w:val="Compact"/>
            </w:pPr>
            <w:r>
              <w:t xml:space="preserve">Remaining (R&amp;D, operations, G&amp;A)</w:t>
            </w:r>
          </w:p>
        </w:tc>
        <w:tc>
          <w:tcPr/>
          <w:p>
            <w:pPr>
              <w:pStyle w:val="Compact"/>
            </w:pPr>
            <w:r>
              <w:t xml:space="preserve">~35%</w:t>
            </w:r>
          </w:p>
        </w:tc>
      </w:tr>
    </w:tbl>
    <w:bookmarkEnd w:id="34"/>
    <w:bookmarkStart w:id="35" w:name="staffing-overview"/>
    <w:p>
      <w:pPr>
        <w:pStyle w:val="Heading3"/>
      </w:pPr>
      <w:r>
        <w:t xml:space="preserve">Staffing Overview</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Team</w:t>
            </w:r>
          </w:p>
        </w:tc>
        <w:tc>
          <w:tcPr/>
          <w:p>
            <w:pPr>
              <w:pStyle w:val="Compact"/>
            </w:pPr>
            <w:r>
              <w:t xml:space="preserve">Headcount</w:t>
            </w:r>
          </w:p>
        </w:tc>
        <w:tc>
          <w:tcPr/>
          <w:p>
            <w:pPr>
              <w:pStyle w:val="Compact"/>
            </w:pPr>
            <w:r>
              <w:t xml:space="preserve">Notes</w:t>
            </w:r>
          </w:p>
        </w:tc>
      </w:tr>
      <w:tr>
        <w:tc>
          <w:tcPr/>
          <w:p>
            <w:pPr>
              <w:pStyle w:val="Compact"/>
            </w:pPr>
            <w:r>
              <w:t xml:space="preserve">Total employees</w:t>
            </w:r>
          </w:p>
        </w:tc>
        <w:tc>
          <w:tcPr/>
          <w:p>
            <w:pPr>
              <w:pStyle w:val="Compact"/>
            </w:pPr>
            <w:r>
              <w:t xml:space="preserve">47</w:t>
            </w:r>
          </w:p>
        </w:tc>
        <w:tc>
          <w:tcPr/>
          <w:p>
            <w:pPr>
              <w:pStyle w:val="Compact"/>
            </w:pPr>
            <w:r>
              <w:t xml:space="preserve">Perth (35), Sydney (12)</w:t>
            </w:r>
          </w:p>
        </w:tc>
      </w:tr>
      <w:tr>
        <w:tc>
          <w:tcPr/>
          <w:p>
            <w:pPr>
              <w:pStyle w:val="Compact"/>
            </w:pPr>
            <w:r>
              <w:t xml:space="preserve">Infrastructure engineering</w:t>
            </w:r>
          </w:p>
        </w:tc>
        <w:tc>
          <w:tcPr/>
          <w:p>
            <w:pPr>
              <w:pStyle w:val="Compact"/>
            </w:pPr>
            <w:r>
              <w:t xml:space="preserve">12</w:t>
            </w:r>
          </w:p>
        </w:tc>
        <w:tc>
          <w:tcPr/>
          <w:p>
            <w:pPr>
              <w:pStyle w:val="Compact"/>
            </w:pPr>
            <w:r>
              <w:t xml:space="preserve">Reports to CTO</w:t>
            </w:r>
          </w:p>
        </w:tc>
      </w:tr>
      <w:tr>
        <w:tc>
          <w:tcPr/>
          <w:p>
            <w:pPr>
              <w:pStyle w:val="Compact"/>
            </w:pPr>
            <w:r>
              <w:t xml:space="preserve">Customer support</w:t>
            </w:r>
          </w:p>
        </w:tc>
        <w:tc>
          <w:tcPr/>
          <w:p>
            <w:pPr>
              <w:pStyle w:val="Compact"/>
            </w:pPr>
            <w:r>
              <w:t xml:space="preserve">8</w:t>
            </w:r>
          </w:p>
        </w:tc>
        <w:tc>
          <w:tcPr/>
          <w:p>
            <w:pPr>
              <w:pStyle w:val="Compact"/>
            </w:pPr>
            <w:r>
              <w:t xml:space="preserve">5 Tier 1, 2 Tier 2, 1 Tier 3</w:t>
            </w:r>
          </w:p>
        </w:tc>
      </w:tr>
      <w:tr>
        <w:tc>
          <w:tcPr/>
          <w:p>
            <w:pPr>
              <w:pStyle w:val="Compact"/>
            </w:pPr>
            <w:r>
              <w:t xml:space="preserve">Security</w:t>
            </w:r>
          </w:p>
        </w:tc>
        <w:tc>
          <w:tcPr/>
          <w:p>
            <w:pPr>
              <w:pStyle w:val="Compact"/>
            </w:pPr>
            <w:r>
              <w:t xml:space="preserve">8</w:t>
            </w:r>
          </w:p>
        </w:tc>
        <w:tc>
          <w:tcPr/>
          <w:p>
            <w:pPr>
              <w:pStyle w:val="Compact"/>
            </w:pPr>
            <w:r>
              <w:t xml:space="preserve">Includes CISO; needs 3+ additional</w:t>
            </w:r>
          </w:p>
        </w:tc>
      </w:tr>
      <w:tr>
        <w:tc>
          <w:tcPr/>
          <w:p>
            <w:pPr>
              <w:pStyle w:val="Compact"/>
            </w:pPr>
            <w:r>
              <w:t xml:space="preserve">Software development</w:t>
            </w:r>
          </w:p>
        </w:tc>
        <w:tc>
          <w:tcPr/>
          <w:p>
            <w:pPr>
              <w:pStyle w:val="Compact"/>
            </w:pPr>
            <w:r>
              <w:t xml:space="preserve">7</w:t>
            </w:r>
          </w:p>
        </w:tc>
        <w:tc>
          <w:tcPr/>
          <w:p>
            <w:pPr>
              <w:pStyle w:val="Compact"/>
            </w:pPr>
            <w:r>
              <w:t xml:space="preserve">1 lead + 6 developers</w:t>
            </w:r>
          </w:p>
        </w:tc>
      </w:tr>
      <w:tr>
        <w:tc>
          <w:tcPr/>
          <w:p>
            <w:pPr>
              <w:pStyle w:val="Compact"/>
            </w:pPr>
            <w:r>
              <w:t xml:space="preserve">Data and analytics</w:t>
            </w:r>
          </w:p>
        </w:tc>
        <w:tc>
          <w:tcPr/>
          <w:p>
            <w:pPr>
              <w:pStyle w:val="Compact"/>
            </w:pPr>
            <w:r>
              <w:t xml:space="preserve">2</w:t>
            </w:r>
          </w:p>
        </w:tc>
        <w:tc>
          <w:tcPr/>
          <w:p>
            <w:pPr>
              <w:pStyle w:val="Compact"/>
            </w:pPr>
            <w:r>
              <w:t xml:space="preserve">1 analyst + 1 junior</w:t>
            </w:r>
          </w:p>
        </w:tc>
      </w:tr>
      <w:tr>
        <w:tc>
          <w:tcPr/>
          <w:p>
            <w:pPr>
              <w:pStyle w:val="Compact"/>
            </w:pPr>
            <w:r>
              <w:t xml:space="preserve">Marketing</w:t>
            </w:r>
          </w:p>
        </w:tc>
        <w:tc>
          <w:tcPr/>
          <w:p>
            <w:pPr>
              <w:pStyle w:val="Compact"/>
            </w:pPr>
            <w:r>
              <w:t xml:space="preserve">4</w:t>
            </w:r>
          </w:p>
        </w:tc>
        <w:tc>
          <w:tcPr/>
          <w:p>
            <w:pPr>
              <w:pStyle w:val="Compact"/>
            </w:pPr>
            <w:r>
              <w:t xml:space="preserve">Includes CMO</w:t>
            </w:r>
          </w:p>
        </w:tc>
      </w:tr>
      <w:tr>
        <w:tc>
          <w:tcPr/>
          <w:p>
            <w:pPr>
              <w:pStyle w:val="Compact"/>
            </w:pPr>
            <w:r>
              <w:t xml:space="preserve">Compliance</w:t>
            </w:r>
          </w:p>
        </w:tc>
        <w:tc>
          <w:tcPr/>
          <w:p>
            <w:pPr>
              <w:pStyle w:val="Compact"/>
            </w:pPr>
            <w:r>
              <w:t xml:space="preserve">2</w:t>
            </w:r>
          </w:p>
        </w:tc>
        <w:tc>
          <w:tcPr/>
          <w:p>
            <w:pPr>
              <w:pStyle w:val="Compact"/>
            </w:pPr>
            <w:r>
              <w:t xml:space="preserve">Head of Compliance + 1 analyst</w:t>
            </w:r>
          </w:p>
        </w:tc>
      </w:tr>
    </w:tbl>
    <w:bookmarkEnd w:id="35"/>
    <w:bookmarkStart w:id="36" w:name="proposed-ai-investment-envelope"/>
    <w:p>
      <w:pPr>
        <w:pStyle w:val="Heading3"/>
      </w:pPr>
      <w:r>
        <w:t xml:space="preserve">Proposed AI Investment Envelope</w:t>
      </w:r>
    </w:p>
    <w:p>
      <w:pPr>
        <w:pStyle w:val="FirstParagraph"/>
      </w:pPr>
      <w:r>
        <w:t xml:space="preserve">No dedicated AI budget currently exists. Based on executive discussions, an initial allocation of</w:t>
      </w:r>
      <w:r>
        <w:t xml:space="preserve"> </w:t>
      </w:r>
      <w:r>
        <w:rPr>
          <w:b/>
          <w:bCs/>
        </w:rPr>
        <w:t xml:space="preserve">$250,000 AUD</w:t>
      </w:r>
      <w:r>
        <w:t xml:space="preserve"> </w:t>
      </w:r>
      <w:r>
        <w:t xml:space="preserve">has been proposed for the first 12 months. This would need to cover:</w:t>
      </w:r>
    </w:p>
    <w:p>
      <w:pPr>
        <w:pStyle w:val="Compact"/>
        <w:numPr>
          <w:ilvl w:val="0"/>
          <w:numId w:val="1001"/>
        </w:numPr>
      </w:pPr>
      <w:r>
        <w:t xml:space="preserve">Vendor licensing or cloud AI platform costs</w:t>
      </w:r>
    </w:p>
    <w:p>
      <w:pPr>
        <w:pStyle w:val="Compact"/>
        <w:numPr>
          <w:ilvl w:val="0"/>
          <w:numId w:val="1001"/>
        </w:numPr>
      </w:pPr>
      <w:r>
        <w:t xml:space="preserve">At least one specialist hire or contractor (ML engineer market rate: $180,000 to $250,000 AUD)</w:t>
      </w:r>
    </w:p>
    <w:p>
      <w:pPr>
        <w:pStyle w:val="Compact"/>
        <w:numPr>
          <w:ilvl w:val="0"/>
          <w:numId w:val="1001"/>
        </w:numPr>
      </w:pPr>
      <w:r>
        <w:t xml:space="preserve">Data preparation and integration work</w:t>
      </w:r>
    </w:p>
    <w:p>
      <w:pPr>
        <w:pStyle w:val="Compact"/>
        <w:numPr>
          <w:ilvl w:val="0"/>
          <w:numId w:val="1001"/>
        </w:numPr>
      </w:pPr>
      <w:r>
        <w:t xml:space="preserve">Governance framework development</w:t>
      </w:r>
    </w:p>
    <w:p>
      <w:pPr>
        <w:pStyle w:val="Compact"/>
        <w:numPr>
          <w:ilvl w:val="0"/>
          <w:numId w:val="1001"/>
        </w:numPr>
      </w:pPr>
      <w:r>
        <w:t xml:space="preserve">Training and change management</w:t>
      </w:r>
    </w:p>
    <w:p>
      <w:pPr>
        <w:pStyle w:val="FirstParagraph"/>
      </w:pPr>
      <w:r>
        <w:t xml:space="preserve">The CFO has indicated this figure is the upper boundary without board approval for additional capital expenditure.</w:t>
      </w:r>
    </w:p>
    <w:p>
      <w:r>
        <w:pict>
          <v:rect style="width:0;height:1.5pt" o:hralign="center" o:hrstd="t" o:hr="t"/>
        </w:pict>
      </w:r>
    </w:p>
    <w:bookmarkEnd w:id="36"/>
    <w:bookmarkEnd w:id="37"/>
    <w:bookmarkStart w:id="44" w:name="preliminary-opportunity-assessment"/>
    <w:p>
      <w:pPr>
        <w:pStyle w:val="Heading2"/>
      </w:pPr>
      <w:r>
        <w:t xml:space="preserve">Preliminary Opportunity Assessment</w:t>
      </w:r>
    </w:p>
    <w:p>
      <w:pPr>
        <w:pStyle w:val="FirstParagraph"/>
      </w:pPr>
      <w:r>
        <w:t xml:space="preserve">The following assessment was compiled from executive interviews, technical team input, and the CTO’s AI readiness evaluation. It is intended as a starting point for structured analysis, not a final recommendation.</w:t>
      </w:r>
    </w:p>
    <w:bookmarkStart w:id="38" w:name="ai-powered-customer-support-chatbot"/>
    <w:p>
      <w:pPr>
        <w:pStyle w:val="Heading3"/>
      </w:pPr>
      <w:r>
        <w:t xml:space="preserve">1. AI-Powered Customer Support Chatbot</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Strategic priority</w:t>
            </w:r>
          </w:p>
        </w:tc>
        <w:tc>
          <w:tcPr/>
          <w:p>
            <w:pPr>
              <w:pStyle w:val="Compact"/>
            </w:pPr>
            <w:r>
              <w:t xml:space="preserve">Customer Experience</w:t>
            </w:r>
          </w:p>
        </w:tc>
      </w:tr>
      <w:tr>
        <w:tc>
          <w:tcPr/>
          <w:p>
            <w:pPr>
              <w:pStyle w:val="Compact"/>
            </w:pPr>
            <w:r>
              <w:rPr>
                <w:b/>
                <w:bCs/>
              </w:rPr>
              <w:t xml:space="preserve">Data readiness</w:t>
            </w:r>
          </w:p>
        </w:tc>
        <w:tc>
          <w:tcPr/>
          <w:p>
            <w:pPr>
              <w:pStyle w:val="Compact"/>
            </w:pPr>
            <w:r>
              <w:t xml:space="preserve">Medium. Support ticket history exists (3 to 4 years), but data is siloed across systems. Knowledge base content would need curation. Ticket data includes categories, resolution times, and satisfaction scores.</w:t>
            </w:r>
          </w:p>
        </w:tc>
      </w:tr>
      <w:tr>
        <w:tc>
          <w:tcPr/>
          <w:p>
            <w:pPr>
              <w:pStyle w:val="Compact"/>
            </w:pPr>
            <w:r>
              <w:rPr>
                <w:b/>
                <w:bCs/>
              </w:rPr>
              <w:t xml:space="preserve">Stakeholder support</w:t>
            </w:r>
          </w:p>
        </w:tc>
        <w:tc>
          <w:tcPr/>
          <w:p>
            <w:pPr>
              <w:pStyle w:val="Compact"/>
            </w:pPr>
            <w:r>
              <w:t xml:space="preserve">Mixed. CEO and COO supportive in principle; CISO concerned about customer data exposure; support team anxious about job impact.</w:t>
            </w:r>
          </w:p>
        </w:tc>
      </w:tr>
      <w:tr>
        <w:tc>
          <w:tcPr/>
          <w:p>
            <w:pPr>
              <w:pStyle w:val="Compact"/>
            </w:pPr>
            <w:r>
              <w:rPr>
                <w:b/>
                <w:bCs/>
              </w:rPr>
              <w:t xml:space="preserve">Key ethical risk flags</w:t>
            </w:r>
          </w:p>
        </w:tc>
        <w:tc>
          <w:tcPr/>
          <w:p>
            <w:pPr>
              <w:pStyle w:val="Compact"/>
            </w:pPr>
            <w:r>
              <w:t xml:space="preserve">Customer data privacy (healthcare and finance clients); transparency (customers must know they are interacting with AI); quality risk if responses are inaccurate; potential staff displacement for Tier 1 support team.</w:t>
            </w:r>
          </w:p>
        </w:tc>
      </w:tr>
      <w:tr>
        <w:tc>
          <w:tcPr/>
          <w:p>
            <w:pPr>
              <w:pStyle w:val="Compact"/>
            </w:pPr>
            <w:r>
              <w:rPr>
                <w:b/>
                <w:bCs/>
              </w:rPr>
              <w:t xml:space="preserve">Estimated complexity</w:t>
            </w:r>
          </w:p>
        </w:tc>
        <w:tc>
          <w:tcPr/>
          <w:p>
            <w:pPr>
              <w:pStyle w:val="Compact"/>
            </w:pPr>
            <w:r>
              <w:t xml:space="preserve">Medium</w:t>
            </w:r>
          </w:p>
        </w:tc>
      </w:tr>
    </w:tbl>
    <w:bookmarkEnd w:id="38"/>
    <w:bookmarkStart w:id="39" w:name="X98bd4af203e2dfe30d6c35a0dadd56f644b6f71"/>
    <w:p>
      <w:pPr>
        <w:pStyle w:val="Heading3"/>
      </w:pPr>
      <w:r>
        <w:t xml:space="preserve">2. Predictive Maintenance for Infrastructure</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Strategic priority</w:t>
            </w:r>
          </w:p>
        </w:tc>
        <w:tc>
          <w:tcPr/>
          <w:p>
            <w:pPr>
              <w:pStyle w:val="Compact"/>
            </w:pPr>
            <w:r>
              <w:t xml:space="preserve">Operational Transformation</w:t>
            </w:r>
          </w:p>
        </w:tc>
      </w:tr>
      <w:tr>
        <w:tc>
          <w:tcPr/>
          <w:p>
            <w:pPr>
              <w:pStyle w:val="Compact"/>
            </w:pPr>
            <w:r>
              <w:rPr>
                <w:b/>
                <w:bCs/>
              </w:rPr>
              <w:t xml:space="preserve">Data readiness</w:t>
            </w:r>
          </w:p>
        </w:tc>
        <w:tc>
          <w:tcPr/>
          <w:p>
            <w:pPr>
              <w:pStyle w:val="Compact"/>
            </w:pPr>
            <w:r>
              <w:t xml:space="preserve">Medium-High. Infrastructure telemetry already collected via Prometheus and Grafana. Monitoring data is relatively clean and structured. However, no ML pipeline exists to process this data.</w:t>
            </w:r>
          </w:p>
        </w:tc>
      </w:tr>
      <w:tr>
        <w:tc>
          <w:tcPr/>
          <w:p>
            <w:pPr>
              <w:pStyle w:val="Compact"/>
            </w:pPr>
            <w:r>
              <w:rPr>
                <w:b/>
                <w:bCs/>
              </w:rPr>
              <w:t xml:space="preserve">Stakeholder support</w:t>
            </w:r>
          </w:p>
        </w:tc>
        <w:tc>
          <w:tcPr/>
          <w:p>
            <w:pPr>
              <w:pStyle w:val="Compact"/>
            </w:pPr>
            <w:r>
              <w:t xml:space="preserve">Strong. CTO’s preferred initiative; operations team sees value; lower data sensitivity reduces CISO objections.</w:t>
            </w:r>
          </w:p>
        </w:tc>
      </w:tr>
      <w:tr>
        <w:tc>
          <w:tcPr/>
          <w:p>
            <w:pPr>
              <w:pStyle w:val="Compact"/>
            </w:pPr>
            <w:r>
              <w:rPr>
                <w:b/>
                <w:bCs/>
              </w:rPr>
              <w:t xml:space="preserve">Key ethical risk flags</w:t>
            </w:r>
          </w:p>
        </w:tc>
        <w:tc>
          <w:tcPr/>
          <w:p>
            <w:pPr>
              <w:pStyle w:val="Compact"/>
            </w:pPr>
            <w:r>
              <w:t xml:space="preserve">Limited direct ethical risk (internal operational data, not customer PII). Main risk is over-reliance on automated predictions affecting SLA decisions.</w:t>
            </w:r>
          </w:p>
        </w:tc>
      </w:tr>
      <w:tr>
        <w:tc>
          <w:tcPr/>
          <w:p>
            <w:pPr>
              <w:pStyle w:val="Compact"/>
            </w:pPr>
            <w:r>
              <w:rPr>
                <w:b/>
                <w:bCs/>
              </w:rPr>
              <w:t xml:space="preserve">Estimated complexity</w:t>
            </w:r>
          </w:p>
        </w:tc>
        <w:tc>
          <w:tcPr/>
          <w:p>
            <w:pPr>
              <w:pStyle w:val="Compact"/>
            </w:pPr>
            <w:r>
              <w:t xml:space="preserve">High</w:t>
            </w:r>
          </w:p>
        </w:tc>
      </w:tr>
    </w:tbl>
    <w:bookmarkEnd w:id="39"/>
    <w:bookmarkStart w:id="40" w:name="intelligent-resource-allocation"/>
    <w:p>
      <w:pPr>
        <w:pStyle w:val="Heading3"/>
      </w:pPr>
      <w:r>
        <w:t xml:space="preserve">3. Intelligent Resource Allocation</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Strategic priority</w:t>
            </w:r>
          </w:p>
        </w:tc>
        <w:tc>
          <w:tcPr/>
          <w:p>
            <w:pPr>
              <w:pStyle w:val="Compact"/>
            </w:pPr>
            <w:r>
              <w:t xml:space="preserve">Operational Transformation</w:t>
            </w:r>
          </w:p>
        </w:tc>
      </w:tr>
      <w:tr>
        <w:tc>
          <w:tcPr/>
          <w:p>
            <w:pPr>
              <w:pStyle w:val="Compact"/>
            </w:pPr>
            <w:r>
              <w:rPr>
                <w:b/>
                <w:bCs/>
              </w:rPr>
              <w:t xml:space="preserve">Data readiness</w:t>
            </w:r>
          </w:p>
        </w:tc>
        <w:tc>
          <w:tcPr/>
          <w:p>
            <w:pPr>
              <w:pStyle w:val="Compact"/>
            </w:pPr>
            <w:r>
              <w:t xml:space="preserve">Low-Medium. Resource utilisation data exists but is fragmented across provisioning, billing, and monitoring systems. Significant data engineering required to create unified view.</w:t>
            </w:r>
          </w:p>
        </w:tc>
      </w:tr>
      <w:tr>
        <w:tc>
          <w:tcPr/>
          <w:p>
            <w:pPr>
              <w:pStyle w:val="Compact"/>
            </w:pPr>
            <w:r>
              <w:rPr>
                <w:b/>
                <w:bCs/>
              </w:rPr>
              <w:t xml:space="preserve">Stakeholder support</w:t>
            </w:r>
          </w:p>
        </w:tc>
        <w:tc>
          <w:tcPr/>
          <w:p>
            <w:pPr>
              <w:pStyle w:val="Compact"/>
            </w:pPr>
            <w:r>
              <w:t xml:space="preserve">Moderate. CTO and COO see potential; CFO wants efficiency gains; lower priority than other initiatives for most executives.</w:t>
            </w:r>
          </w:p>
        </w:tc>
      </w:tr>
      <w:tr>
        <w:tc>
          <w:tcPr/>
          <w:p>
            <w:pPr>
              <w:pStyle w:val="Compact"/>
            </w:pPr>
            <w:r>
              <w:rPr>
                <w:b/>
                <w:bCs/>
              </w:rPr>
              <w:t xml:space="preserve">Key ethical risk flags</w:t>
            </w:r>
          </w:p>
        </w:tc>
        <w:tc>
          <w:tcPr/>
          <w:p>
            <w:pPr>
              <w:pStyle w:val="Compact"/>
            </w:pPr>
            <w:r>
              <w:t xml:space="preserve">Algorithmic bias in resource allocation could disadvantage smaller clients; transparency in allocation decisions needed for client trust.</w:t>
            </w:r>
          </w:p>
        </w:tc>
      </w:tr>
      <w:tr>
        <w:tc>
          <w:tcPr/>
          <w:p>
            <w:pPr>
              <w:pStyle w:val="Compact"/>
            </w:pPr>
            <w:r>
              <w:rPr>
                <w:b/>
                <w:bCs/>
              </w:rPr>
              <w:t xml:space="preserve">Estimated complexity</w:t>
            </w:r>
          </w:p>
        </w:tc>
        <w:tc>
          <w:tcPr/>
          <w:p>
            <w:pPr>
              <w:pStyle w:val="Compact"/>
            </w:pPr>
            <w:r>
              <w:t xml:space="preserve">High</w:t>
            </w:r>
          </w:p>
        </w:tc>
      </w:tr>
    </w:tbl>
    <w:bookmarkEnd w:id="40"/>
    <w:bookmarkStart w:id="41" w:name="sales-lead-scoring-and-prioritisation"/>
    <w:p>
      <w:pPr>
        <w:pStyle w:val="Heading3"/>
      </w:pPr>
      <w:r>
        <w:t xml:space="preserve">4. Sales Lead Scoring and Prioritisation</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Strategic priority</w:t>
            </w:r>
          </w:p>
        </w:tc>
        <w:tc>
          <w:tcPr/>
          <w:p>
            <w:pPr>
              <w:pStyle w:val="Compact"/>
            </w:pPr>
            <w:r>
              <w:t xml:space="preserve">Market Expansion</w:t>
            </w:r>
          </w:p>
        </w:tc>
      </w:tr>
      <w:tr>
        <w:tc>
          <w:tcPr/>
          <w:p>
            <w:pPr>
              <w:pStyle w:val="Compact"/>
            </w:pPr>
            <w:r>
              <w:rPr>
                <w:b/>
                <w:bCs/>
              </w:rPr>
              <w:t xml:space="preserve">Data readiness</w:t>
            </w:r>
          </w:p>
        </w:tc>
        <w:tc>
          <w:tcPr/>
          <w:p>
            <w:pPr>
              <w:pStyle w:val="Compact"/>
            </w:pPr>
            <w:r>
              <w:t xml:space="preserve">Low-Medium. CRM data exists in HubSpot but lead tracking is basic. Historical conversion data may be insufficient for robust model training. Customer acquisition cost (~$2,400) provides a baseline for measuring improvement.</w:t>
            </w:r>
          </w:p>
        </w:tc>
      </w:tr>
      <w:tr>
        <w:tc>
          <w:tcPr/>
          <w:p>
            <w:pPr>
              <w:pStyle w:val="Compact"/>
            </w:pPr>
            <w:r>
              <w:rPr>
                <w:b/>
                <w:bCs/>
              </w:rPr>
              <w:t xml:space="preserve">Stakeholder support</w:t>
            </w:r>
          </w:p>
        </w:tc>
        <w:tc>
          <w:tcPr/>
          <w:p>
            <w:pPr>
              <w:pStyle w:val="Compact"/>
            </w:pPr>
            <w:r>
              <w:t xml:space="preserve">CFO’s preferred initiative due to clear ROI link. Marketing team interested. Lower priority for CTO and CISO.</w:t>
            </w:r>
          </w:p>
        </w:tc>
      </w:tr>
      <w:tr>
        <w:tc>
          <w:tcPr/>
          <w:p>
            <w:pPr>
              <w:pStyle w:val="Compact"/>
            </w:pPr>
            <w:r>
              <w:rPr>
                <w:b/>
                <w:bCs/>
              </w:rPr>
              <w:t xml:space="preserve">Key ethical risk flags</w:t>
            </w:r>
          </w:p>
        </w:tc>
        <w:tc>
          <w:tcPr/>
          <w:p>
            <w:pPr>
              <w:pStyle w:val="Compact"/>
            </w:pPr>
            <w:r>
              <w:t xml:space="preserve">Potential bias in scoring criteria (industry, company size, geography); risk of discriminatory prioritisation; data quality concerns in training set.</w:t>
            </w:r>
          </w:p>
        </w:tc>
      </w:tr>
      <w:tr>
        <w:tc>
          <w:tcPr/>
          <w:p>
            <w:pPr>
              <w:pStyle w:val="Compact"/>
            </w:pPr>
            <w:r>
              <w:rPr>
                <w:b/>
                <w:bCs/>
              </w:rPr>
              <w:t xml:space="preserve">Estimated complexity</w:t>
            </w:r>
          </w:p>
        </w:tc>
        <w:tc>
          <w:tcPr/>
          <w:p>
            <w:pPr>
              <w:pStyle w:val="Compact"/>
            </w:pPr>
            <w:r>
              <w:t xml:space="preserve">Low</w:t>
            </w:r>
          </w:p>
        </w:tc>
      </w:tr>
    </w:tbl>
    <w:bookmarkEnd w:id="41"/>
    <w:bookmarkStart w:id="42" w:name="automated-security-threat-detection"/>
    <w:p>
      <w:pPr>
        <w:pStyle w:val="Heading3"/>
      </w:pPr>
      <w:r>
        <w:t xml:space="preserve">5. Automated Security Threat Detection</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Strategic priority</w:t>
            </w:r>
          </w:p>
        </w:tc>
        <w:tc>
          <w:tcPr/>
          <w:p>
            <w:pPr>
              <w:pStyle w:val="Compact"/>
            </w:pPr>
            <w:r>
              <w:t xml:space="preserve">Customer Experience (security as trust enabler)</w:t>
            </w:r>
          </w:p>
        </w:tc>
      </w:tr>
      <w:tr>
        <w:tc>
          <w:tcPr/>
          <w:p>
            <w:pPr>
              <w:pStyle w:val="Compact"/>
            </w:pPr>
            <w:r>
              <w:rPr>
                <w:b/>
                <w:bCs/>
              </w:rPr>
              <w:t xml:space="preserve">Data readiness</w:t>
            </w:r>
          </w:p>
        </w:tc>
        <w:tc>
          <w:tcPr/>
          <w:p>
            <w:pPr>
              <w:pStyle w:val="Compact"/>
            </w:pPr>
            <w:r>
              <w:t xml:space="preserve">Medium-High. SIEM (Splunk) already aggregates security logs; EDR, firewall, and VPN logs are structured and timestamped. The breach incident provides a documented case for model training. Daily alert volume of 500 to 800 events creates both training data and a clear use case for AI triage.</w:t>
            </w:r>
          </w:p>
        </w:tc>
      </w:tr>
      <w:tr>
        <w:tc>
          <w:tcPr/>
          <w:p>
            <w:pPr>
              <w:pStyle w:val="Compact"/>
            </w:pPr>
            <w:r>
              <w:rPr>
                <w:b/>
                <w:bCs/>
              </w:rPr>
              <w:t xml:space="preserve">Stakeholder support</w:t>
            </w:r>
          </w:p>
        </w:tc>
        <w:tc>
          <w:tcPr/>
          <w:p>
            <w:pPr>
              <w:pStyle w:val="Compact"/>
            </w:pPr>
            <w:r>
              <w:t xml:space="preserve">Strong from CISO and CTO. CEO supportive given breach history. CFO sees defensive ROI (breach prevention vs. $3.5M breach cost).</w:t>
            </w:r>
          </w:p>
        </w:tc>
      </w:tr>
      <w:tr>
        <w:tc>
          <w:tcPr/>
          <w:p>
            <w:pPr>
              <w:pStyle w:val="Compact"/>
            </w:pPr>
            <w:r>
              <w:rPr>
                <w:b/>
                <w:bCs/>
              </w:rPr>
              <w:t xml:space="preserve">Key ethical risk flags</w:t>
            </w:r>
          </w:p>
        </w:tc>
        <w:tc>
          <w:tcPr/>
          <w:p>
            <w:pPr>
              <w:pStyle w:val="Compact"/>
            </w:pPr>
            <w:r>
              <w:t xml:space="preserve">False positive risk could block legitimate user access; employee monitoring implications; need for explainability in threat classification decisions; risk of over-reliance on automated detection.</w:t>
            </w:r>
          </w:p>
        </w:tc>
      </w:tr>
      <w:tr>
        <w:tc>
          <w:tcPr/>
          <w:p>
            <w:pPr>
              <w:pStyle w:val="Compact"/>
            </w:pPr>
            <w:r>
              <w:rPr>
                <w:b/>
                <w:bCs/>
              </w:rPr>
              <w:t xml:space="preserve">Estimated complexity</w:t>
            </w:r>
          </w:p>
        </w:tc>
        <w:tc>
          <w:tcPr/>
          <w:p>
            <w:pPr>
              <w:pStyle w:val="Compact"/>
            </w:pPr>
            <w:r>
              <w:t xml:space="preserve">High</w:t>
            </w:r>
          </w:p>
        </w:tc>
      </w:tr>
    </w:tbl>
    <w:bookmarkEnd w:id="42"/>
    <w:bookmarkStart w:id="43" w:name="customer-churn-prediction"/>
    <w:p>
      <w:pPr>
        <w:pStyle w:val="Heading3"/>
      </w:pPr>
      <w:r>
        <w:t xml:space="preserve">6. Customer Churn Prediction</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Strategic priority</w:t>
            </w:r>
          </w:p>
        </w:tc>
        <w:tc>
          <w:tcPr/>
          <w:p>
            <w:pPr>
              <w:pStyle w:val="Compact"/>
            </w:pPr>
            <w:r>
              <w:t xml:space="preserve">Customer Experience</w:t>
            </w:r>
          </w:p>
        </w:tc>
      </w:tr>
      <w:tr>
        <w:tc>
          <w:tcPr/>
          <w:p>
            <w:pPr>
              <w:pStyle w:val="Compact"/>
            </w:pPr>
            <w:r>
              <w:rPr>
                <w:b/>
                <w:bCs/>
              </w:rPr>
              <w:t xml:space="preserve">Data readiness</w:t>
            </w:r>
          </w:p>
        </w:tc>
        <w:tc>
          <w:tcPr/>
          <w:p>
            <w:pPr>
              <w:pStyle w:val="Compact"/>
            </w:pPr>
            <w:r>
              <w:t xml:space="preserve">Medium. Customer data exists across CRM, billing, and support systems but is not unified. The data team (2 people) has identified data quality issues including inconsistent definitions across systems. Historical churn data available but completeness varies.</w:t>
            </w:r>
          </w:p>
        </w:tc>
      </w:tr>
      <w:tr>
        <w:tc>
          <w:tcPr/>
          <w:p>
            <w:pPr>
              <w:pStyle w:val="Compact"/>
            </w:pPr>
            <w:r>
              <w:rPr>
                <w:b/>
                <w:bCs/>
              </w:rPr>
              <w:t xml:space="preserve">Stakeholder support</w:t>
            </w:r>
          </w:p>
        </w:tc>
        <w:tc>
          <w:tcPr/>
          <w:p>
            <w:pPr>
              <w:pStyle w:val="Compact"/>
            </w:pPr>
            <w:r>
              <w:t xml:space="preserve">Strong from COO; CFO sees revenue protection value; CTO rates it as feasible but lower priority than predictive maintenance.</w:t>
            </w:r>
          </w:p>
        </w:tc>
      </w:tr>
      <w:tr>
        <w:tc>
          <w:tcPr/>
          <w:p>
            <w:pPr>
              <w:pStyle w:val="Compact"/>
            </w:pPr>
            <w:r>
              <w:rPr>
                <w:b/>
                <w:bCs/>
              </w:rPr>
              <w:t xml:space="preserve">Key ethical risk flags</w:t>
            </w:r>
          </w:p>
        </w:tc>
        <w:tc>
          <w:tcPr/>
          <w:p>
            <w:pPr>
              <w:pStyle w:val="Compact"/>
            </w:pPr>
            <w:r>
              <w:t xml:space="preserve">Privacy implications of profiling customer behaviour; risk of self-fulfilling prophecy (treating predicted churners differently may push them away); need for transparency about how predictions are used; healthcare and finance client data sensitivity.</w:t>
            </w:r>
          </w:p>
        </w:tc>
      </w:tr>
      <w:tr>
        <w:tc>
          <w:tcPr/>
          <w:p>
            <w:pPr>
              <w:pStyle w:val="Compact"/>
            </w:pPr>
            <w:r>
              <w:rPr>
                <w:b/>
                <w:bCs/>
              </w:rPr>
              <w:t xml:space="preserve">Estimated complexity</w:t>
            </w:r>
          </w:p>
        </w:tc>
        <w:tc>
          <w:tcPr/>
          <w:p>
            <w:pPr>
              <w:pStyle w:val="Compact"/>
            </w:pPr>
            <w:r>
              <w:t xml:space="preserve">Medium</w:t>
            </w:r>
          </w:p>
        </w:tc>
      </w:tr>
    </w:tbl>
    <w:p>
      <w:r>
        <w:pict>
          <v:rect style="width:0;height:1.5pt" o:hralign="center" o:hrstd="t" o:hr="t"/>
        </w:pict>
      </w:r>
    </w:p>
    <w:bookmarkEnd w:id="43"/>
    <w:bookmarkEnd w:id="44"/>
    <w:bookmarkStart w:id="45" w:name="summary-of-executive-tensions"/>
    <w:p>
      <w:pPr>
        <w:pStyle w:val="Heading2"/>
      </w:pPr>
      <w:r>
        <w:t xml:space="preserve">Summary of Executive Tensions</w:t>
      </w:r>
    </w:p>
    <w:p>
      <w:pPr>
        <w:pStyle w:val="FirstParagraph"/>
      </w:pPr>
      <w:r>
        <w:t xml:space="preserve">Any AI strategy will need to navigate the following disagreements within the leadership team:</w:t>
      </w:r>
    </w:p>
    <w:tbl>
      <w:tblPr>
        <w:tblStyle w:val="Table"/>
        <w:tblW w:type="pct" w:w="5000"/>
        <w:tblLayout w:type="fixed"/>
        <w:tblLook w:firstRow="1" w:lastRow="0" w:firstColumn="0" w:lastColumn="0" w:noHBand="0" w:noVBand="0" w:val="0020"/>
      </w:tblPr>
      <w:tblGrid>
        <w:gridCol w:w="1782"/>
        <w:gridCol w:w="2376"/>
        <w:gridCol w:w="3762"/>
      </w:tblGrid>
      <w:tr>
        <w:trPr>
          <w:tblHeader w:val="on"/>
        </w:trPr>
        <w:tc>
          <w:tcPr/>
          <w:p>
            <w:pPr>
              <w:pStyle w:val="Compact"/>
            </w:pPr>
            <w:r>
              <w:t xml:space="preserve">Tension</w:t>
            </w:r>
          </w:p>
        </w:tc>
        <w:tc>
          <w:tcPr/>
          <w:p>
            <w:pPr>
              <w:pStyle w:val="Compact"/>
            </w:pPr>
            <w:r>
              <w:t xml:space="preserve">Executives</w:t>
            </w:r>
          </w:p>
        </w:tc>
        <w:tc>
          <w:tcPr/>
          <w:p>
            <w:pPr>
              <w:pStyle w:val="Compact"/>
            </w:pPr>
            <w:r>
              <w:t xml:space="preserve">Core Disagreement</w:t>
            </w:r>
          </w:p>
        </w:tc>
      </w:tr>
      <w:tr>
        <w:tc>
          <w:tcPr/>
          <w:p>
            <w:pPr>
              <w:pStyle w:val="Compact"/>
            </w:pPr>
            <w:r>
              <w:t xml:space="preserve">Speed vs. governance</w:t>
            </w:r>
          </w:p>
        </w:tc>
        <w:tc>
          <w:tcPr/>
          <w:p>
            <w:pPr>
              <w:pStyle w:val="Compact"/>
            </w:pPr>
            <w:r>
              <w:t xml:space="preserve">CEO vs. CISO</w:t>
            </w:r>
          </w:p>
        </w:tc>
        <w:tc>
          <w:tcPr/>
          <w:p>
            <w:pPr>
              <w:pStyle w:val="Compact"/>
            </w:pPr>
            <w:r>
              <w:t xml:space="preserve">Marcell wants visible progress for the board; Sophia insists governance frameworks must come first</w:t>
            </w:r>
          </w:p>
        </w:tc>
      </w:tr>
      <w:tr>
        <w:tc>
          <w:tcPr/>
          <w:p>
            <w:pPr>
              <w:pStyle w:val="Compact"/>
            </w:pPr>
            <w:r>
              <w:t xml:space="preserve">Build vs. buy</w:t>
            </w:r>
          </w:p>
        </w:tc>
        <w:tc>
          <w:tcPr/>
          <w:p>
            <w:pPr>
              <w:pStyle w:val="Compact"/>
            </w:pPr>
            <w:r>
              <w:t xml:space="preserve">CTO vs. CFO</w:t>
            </w:r>
          </w:p>
        </w:tc>
        <w:tc>
          <w:tcPr/>
          <w:p>
            <w:pPr>
              <w:pStyle w:val="Compact"/>
            </w:pPr>
            <w:r>
              <w:t xml:space="preserve">Mark wants to build in-house capability (6 to 12 month timeline, specialist hires); Aisha favours vendor solutions for faster, cheaper results</w:t>
            </w:r>
          </w:p>
        </w:tc>
      </w:tr>
      <w:tr>
        <w:tc>
          <w:tcPr/>
          <w:p>
            <w:pPr>
              <w:pStyle w:val="Compact"/>
            </w:pPr>
            <w:r>
              <w:t xml:space="preserve">Efficiency vs. staff protection</w:t>
            </w:r>
          </w:p>
        </w:tc>
        <w:tc>
          <w:tcPr/>
          <w:p>
            <w:pPr>
              <w:pStyle w:val="Compact"/>
            </w:pPr>
            <w:r>
              <w:t xml:space="preserve">CEO/CTO vs. COO</w:t>
            </w:r>
          </w:p>
        </w:tc>
        <w:tc>
          <w:tcPr/>
          <w:p>
            <w:pPr>
              <w:pStyle w:val="Compact"/>
            </w:pPr>
            <w:r>
              <w:t xml:space="preserve">Marcell and Mark see automation potential; Sarah insists on augmenting rather than replacing staff</w:t>
            </w:r>
          </w:p>
        </w:tc>
      </w:tr>
    </w:tbl>
    <w:p>
      <w:pPr>
        <w:pStyle w:val="BodyText"/>
      </w:pPr>
      <w:r>
        <w:t xml:space="preserve">These tensions are not dysfunctional; they reflect legitimate strategic trade-offs that any AI implementation plan must resolve.</w:t>
      </w:r>
    </w:p>
    <w:p>
      <w:r>
        <w:pict>
          <v:rect style="width:0;height:1.5pt" o:hralign="center" o:hrstd="t" o:hr="t"/>
        </w:pict>
      </w:r>
    </w:p>
    <w:bookmarkEnd w:id="45"/>
    <w:bookmarkStart w:id="49" w:name="cross-references"/>
    <w:p>
      <w:pPr>
        <w:pStyle w:val="Heading2"/>
      </w:pPr>
      <w:r>
        <w:t xml:space="preserve">Cross-References</w:t>
      </w:r>
    </w:p>
    <w:p>
      <w:pPr>
        <w:pStyle w:val="FirstParagraph"/>
      </w:pPr>
      <w:r>
        <w:t xml:space="preserve">For additional context, the following resources are available on the Cloudcore Networks website:</w:t>
      </w:r>
    </w:p>
    <w:p>
      <w:pPr>
        <w:pStyle w:val="Compact"/>
        <w:numPr>
          <w:ilvl w:val="0"/>
          <w:numId w:val="1002"/>
        </w:numPr>
      </w:pPr>
      <w:r>
        <w:rPr>
          <w:b/>
          <w:bCs/>
        </w:rPr>
        <w:t xml:space="preserve">Executive interviews:</w:t>
      </w:r>
      <w:r>
        <w:t xml:space="preserve"> </w:t>
      </w:r>
      <w:r>
        <w:t xml:space="preserve">Individual chatbot profiles for each executive are available at</w:t>
      </w:r>
      <w:r>
        <w:t xml:space="preserve"> </w:t>
      </w:r>
      <w:hyperlink r:id="rId46">
        <w:r>
          <w:rPr>
            <w:rStyle w:val="Hyperlink"/>
          </w:rPr>
          <w:t xml:space="preserve">cloudcore.eduserver.au/chatbots/</w:t>
        </w:r>
      </w:hyperlink>
      <w:r>
        <w:t xml:space="preserve">, where students can ask follow-up questions about positions and concerns</w:t>
      </w:r>
    </w:p>
    <w:p>
      <w:pPr>
        <w:pStyle w:val="Compact"/>
        <w:numPr>
          <w:ilvl w:val="0"/>
          <w:numId w:val="1002"/>
        </w:numPr>
      </w:pPr>
      <w:r>
        <w:rPr>
          <w:b/>
          <w:bCs/>
        </w:rPr>
        <w:t xml:space="preserve">Security incident documentation:</w:t>
      </w:r>
      <w:r>
        <w:t xml:space="preserve"> </w:t>
      </w:r>
      <w:r>
        <w:t xml:space="preserve">Incident logs, articles, and policy documents at</w:t>
      </w:r>
      <w:r>
        <w:t xml:space="preserve"> </w:t>
      </w:r>
      <w:hyperlink r:id="rId47">
        <w:r>
          <w:rPr>
            <w:rStyle w:val="Hyperlink"/>
          </w:rPr>
          <w:t xml:space="preserve">cloudcore.eduserver.au/docs/</w:t>
        </w:r>
      </w:hyperlink>
      <w:r>
        <w:t xml:space="preserve"> </w:t>
      </w:r>
      <w:r>
        <w:t xml:space="preserve">provide context for the breach that shapes executive attitudes toward risk</w:t>
      </w:r>
    </w:p>
    <w:p>
      <w:pPr>
        <w:pStyle w:val="Compact"/>
        <w:numPr>
          <w:ilvl w:val="0"/>
          <w:numId w:val="1002"/>
        </w:numPr>
      </w:pPr>
      <w:r>
        <w:rPr>
          <w:b/>
          <w:bCs/>
        </w:rPr>
        <w:t xml:space="preserve">Financial and operational data:</w:t>
      </w:r>
      <w:r>
        <w:t xml:space="preserve"> </w:t>
      </w:r>
      <w:r>
        <w:t xml:space="preserve">Raw datasets including customer, sales, and support data are available at</w:t>
      </w:r>
      <w:r>
        <w:t xml:space="preserve"> </w:t>
      </w:r>
      <w:hyperlink r:id="rId48">
        <w:r>
          <w:rPr>
            <w:rStyle w:val="Hyperlink"/>
          </w:rPr>
          <w:t xml:space="preserve">cloudcore.eduserver.au/data/</w:t>
        </w:r>
      </w:hyperlink>
      <w:r>
        <w:t xml:space="preserve"> </w:t>
      </w:r>
      <w:r>
        <w:t xml:space="preserve">for independent analysis</w:t>
      </w:r>
    </w:p>
    <w:p>
      <w:r>
        <w:pict>
          <v:rect style="width:0;height:1.5pt" o:hralign="center" o:hrstd="t" o:hr="t"/>
        </w:pict>
      </w:r>
    </w:p>
    <w:p>
      <w:pPr>
        <w:pStyle w:val="FirstParagraph"/>
      </w:pPr>
      <w:r>
        <w:rPr>
          <w:i/>
          <w:iCs/>
        </w:rPr>
        <w:t xml:space="preserve">Cloudcore Networks is a fictional company created for educational purposes. Any resemblance to real organisations is coincidental.</w:t>
      </w:r>
    </w:p>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cloudcore.eduserver.au/chatbots/" TargetMode="External" /><Relationship Type="http://schemas.openxmlformats.org/officeDocument/2006/relationships/hyperlink" Id="rId21" Target="https://cloudcore.eduserver.au/chatbots/bots/marcell_ziemann/" TargetMode="External" /><Relationship Type="http://schemas.openxmlformats.org/officeDocument/2006/relationships/hyperlink" Id="rId23" Target="https://cloudcore.eduserver.au/chatbots/bots/mark_gonzalez/" TargetMode="External" /><Relationship Type="http://schemas.openxmlformats.org/officeDocument/2006/relationships/hyperlink" Id="rId25" Target="https://cloudcore.eduserver.au/chatbots/bots/sarah_thompson/" TargetMode="External" /><Relationship Type="http://schemas.openxmlformats.org/officeDocument/2006/relationships/hyperlink" Id="rId28" Target="https://cloudcore.eduserver.au/chatbots/bots/sophia_martines/" TargetMode="External" /><Relationship Type="http://schemas.openxmlformats.org/officeDocument/2006/relationships/hyperlink" Id="rId48" Target="https://cloudcore.eduserver.au/data/" TargetMode="External" /><Relationship Type="http://schemas.openxmlformats.org/officeDocument/2006/relationships/hyperlink" Id="rId47" Target="https://cloudcore.eduserver.au/docs/" TargetMode="External" /><Relationship Type="http://schemas.openxmlformats.org/officeDocument/2006/relationships/hyperlink" Id="rId29" Target="https://cloudcore.eduserver.au/docs/policies/" TargetMode="External" /></Relationships>
</file>

<file path=word/_rels/footnotes.xml.rels><?xml version="1.0" encoding="UTF-8"?><Relationships xmlns="http://schemas.openxmlformats.org/package/2006/relationships"><Relationship Type="http://schemas.openxmlformats.org/officeDocument/2006/relationships/hyperlink" Id="rId46" Target="https://cloudcore.eduserver.au/chatbots/" TargetMode="External" /><Relationship Type="http://schemas.openxmlformats.org/officeDocument/2006/relationships/hyperlink" Id="rId21" Target="https://cloudcore.eduserver.au/chatbots/bots/marcell_ziemann/" TargetMode="External" /><Relationship Type="http://schemas.openxmlformats.org/officeDocument/2006/relationships/hyperlink" Id="rId23" Target="https://cloudcore.eduserver.au/chatbots/bots/mark_gonzalez/" TargetMode="External" /><Relationship Type="http://schemas.openxmlformats.org/officeDocument/2006/relationships/hyperlink" Id="rId25" Target="https://cloudcore.eduserver.au/chatbots/bots/sarah_thompson/" TargetMode="External" /><Relationship Type="http://schemas.openxmlformats.org/officeDocument/2006/relationships/hyperlink" Id="rId28" Target="https://cloudcore.eduserver.au/chatbots/bots/sophia_martines/" TargetMode="External" /><Relationship Type="http://schemas.openxmlformats.org/officeDocument/2006/relationships/hyperlink" Id="rId48" Target="https://cloudcore.eduserver.au/data/" TargetMode="External" /><Relationship Type="http://schemas.openxmlformats.org/officeDocument/2006/relationships/hyperlink" Id="rId47" Target="https://cloudcore.eduserver.au/docs/" TargetMode="External" /><Relationship Type="http://schemas.openxmlformats.org/officeDocument/2006/relationships/hyperlink" Id="rId29" Target="https://cloudcore.eduserver.au/docs/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Cloudcore Networks</dc:title>
  <dc:creator/>
  <cp:keywords/>
  <dcterms:created xsi:type="dcterms:W3CDTF">2026-03-07T15:54:42Z</dcterms:created>
  <dcterms:modified xsi:type="dcterms:W3CDTF">2026-03-07T15:54:42Z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resources">
    <vt:lpwstr/>
  </property>
  <property fmtid="{D5CDD505-2E9C-101B-9397-08002B2CF9AE}" pid="8" name="subtitle">
    <vt:lpwstr>AI Opportunity Evaluation Pack</vt:lpwstr>
  </property>
  <property fmtid="{D5CDD505-2E9C-101B-9397-08002B2CF9AE}" pid="9" name="toc-title">
    <vt:lpwstr>Table of contents</vt:lpwstr>
  </property>
</Properties>
</file>